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75D" w:rsidRPr="00F80520" w:rsidRDefault="0039675D" w:rsidP="0039675D">
      <w:pPr>
        <w:jc w:val="both"/>
        <w:rPr>
          <w:rFonts w:ascii="Arial" w:hAnsi="Arial" w:cs="Arial"/>
          <w:sz w:val="36"/>
          <w:szCs w:val="36"/>
        </w:rPr>
      </w:pPr>
      <w:r w:rsidRPr="00F80520">
        <w:rPr>
          <w:rFonts w:ascii="Arial" w:hAnsi="Arial" w:cs="Arial"/>
          <w:sz w:val="36"/>
          <w:szCs w:val="36"/>
        </w:rPr>
        <w:t>Due grida a confronto</w:t>
      </w:r>
    </w:p>
    <w:p w:rsidR="0039675D" w:rsidRPr="003566E2" w:rsidRDefault="0039675D" w:rsidP="0039675D">
      <w:pPr>
        <w:jc w:val="both"/>
        <w:rPr>
          <w:rFonts w:ascii="Arial" w:hAnsi="Arial" w:cs="Arial"/>
          <w:sz w:val="24"/>
          <w:szCs w:val="24"/>
        </w:rPr>
      </w:pPr>
      <w:r>
        <w:rPr>
          <w:rFonts w:ascii="Arial" w:hAnsi="Arial" w:cs="Arial"/>
          <w:sz w:val="24"/>
          <w:szCs w:val="24"/>
        </w:rPr>
        <w:t xml:space="preserve">Annibale Carracci, </w:t>
      </w:r>
      <w:r w:rsidRPr="00F80520">
        <w:rPr>
          <w:rFonts w:ascii="Arial" w:hAnsi="Arial" w:cs="Arial"/>
          <w:i/>
          <w:sz w:val="24"/>
          <w:szCs w:val="24"/>
        </w:rPr>
        <w:t>Gesù e la Cananea</w:t>
      </w:r>
      <w:r>
        <w:rPr>
          <w:rFonts w:ascii="Arial" w:hAnsi="Arial" w:cs="Arial"/>
          <w:sz w:val="24"/>
          <w:szCs w:val="24"/>
        </w:rPr>
        <w:t>, olio su tela, 1594 – 1595, Palazzo Comunale di Parma</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Dal contesto di un passo delle</w:t>
      </w:r>
      <w:r w:rsidRPr="00E84453">
        <w:rPr>
          <w:rStyle w:val="apple-converted-space"/>
          <w:rFonts w:ascii="Arial" w:hAnsi="Arial" w:cs="Arial"/>
          <w:color w:val="252525"/>
        </w:rPr>
        <w:t> </w:t>
      </w:r>
      <w:r w:rsidRPr="00E84453">
        <w:rPr>
          <w:rFonts w:ascii="Arial" w:hAnsi="Arial" w:cs="Arial"/>
          <w:i/>
          <w:iCs/>
          <w:color w:val="252525"/>
        </w:rPr>
        <w:t>Vite</w:t>
      </w:r>
      <w:r w:rsidRPr="00E84453">
        <w:rPr>
          <w:rStyle w:val="apple-converted-space"/>
          <w:rFonts w:ascii="Arial" w:hAnsi="Arial" w:cs="Arial"/>
          <w:color w:val="252525"/>
        </w:rPr>
        <w:t> </w:t>
      </w:r>
      <w:proofErr w:type="spellStart"/>
      <w:r w:rsidRPr="00E84453">
        <w:rPr>
          <w:rFonts w:ascii="Arial" w:hAnsi="Arial" w:cs="Arial"/>
          <w:color w:val="252525"/>
        </w:rPr>
        <w:t>belloriane</w:t>
      </w:r>
      <w:proofErr w:type="spellEnd"/>
      <w:r w:rsidRPr="00E84453">
        <w:rPr>
          <w:rFonts w:ascii="Arial" w:hAnsi="Arial" w:cs="Arial"/>
          <w:color w:val="252525"/>
        </w:rPr>
        <w:t xml:space="preserve"> sembra dedursi che il</w:t>
      </w:r>
      <w:r w:rsidRPr="00E84453">
        <w:rPr>
          <w:rStyle w:val="apple-converted-space"/>
          <w:rFonts w:ascii="Arial" w:hAnsi="Arial" w:cs="Arial"/>
          <w:color w:val="252525"/>
        </w:rPr>
        <w:t> </w:t>
      </w:r>
      <w:r w:rsidRPr="00E84453">
        <w:rPr>
          <w:rFonts w:ascii="Arial" w:hAnsi="Arial" w:cs="Arial"/>
          <w:i/>
          <w:iCs/>
          <w:color w:val="252525"/>
        </w:rPr>
        <w:t>Cristo e la Cananea</w:t>
      </w:r>
      <w:r w:rsidRPr="00E84453">
        <w:rPr>
          <w:rStyle w:val="apple-converted-space"/>
          <w:rFonts w:ascii="Arial" w:hAnsi="Arial" w:cs="Arial"/>
          <w:color w:val="252525"/>
        </w:rPr>
        <w:t> </w:t>
      </w:r>
      <w:r w:rsidRPr="00E84453">
        <w:rPr>
          <w:rFonts w:ascii="Arial" w:hAnsi="Arial" w:cs="Arial"/>
          <w:color w:val="252525"/>
        </w:rPr>
        <w:t>sia stato il primo dipinto eseguito da Annibale al servizio del cardinale</w:t>
      </w:r>
      <w:r w:rsidRPr="00E84453">
        <w:rPr>
          <w:rStyle w:val="apple-converted-space"/>
          <w:rFonts w:ascii="Arial" w:hAnsi="Arial" w:cs="Arial"/>
          <w:color w:val="252525"/>
        </w:rPr>
        <w:t> </w:t>
      </w:r>
      <w:hyperlink r:id="rId5" w:tooltip="Odoardo Farnese (cardinale)" w:history="1">
        <w:r w:rsidRPr="00E84453">
          <w:rPr>
            <w:rStyle w:val="Collegamentoipertestuale"/>
            <w:rFonts w:ascii="Arial" w:hAnsi="Arial" w:cs="Arial"/>
            <w:color w:val="0B0080"/>
          </w:rPr>
          <w:t>Odoardo Farnese</w:t>
        </w:r>
      </w:hyperlink>
      <w:r w:rsidRPr="00E84453">
        <w:rPr>
          <w:rFonts w:ascii="Arial" w:hAnsi="Arial" w:cs="Arial"/>
          <w:color w:val="252525"/>
        </w:rPr>
        <w:t>, appena giunto a Roma (forse già durante il primo breve soggiorno del 1594, che ha preceduto il suo definitivo trasferimento a Roma nel 1595)</w:t>
      </w:r>
      <w:hyperlink r:id="rId6" w:anchor="cite_note-PosnerII-1" w:history="1">
        <w:r w:rsidRPr="00E84453">
          <w:rPr>
            <w:rStyle w:val="Collegamentoipertestuale"/>
            <w:rFonts w:ascii="Arial" w:hAnsi="Arial" w:cs="Arial"/>
            <w:color w:val="0B0080"/>
            <w:vertAlign w:val="superscript"/>
          </w:rPr>
          <w:t>[1]</w:t>
        </w:r>
      </w:hyperlink>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L'opera, come il resto della</w:t>
      </w:r>
      <w:r w:rsidRPr="00E84453">
        <w:rPr>
          <w:rStyle w:val="apple-converted-space"/>
          <w:rFonts w:ascii="Arial" w:hAnsi="Arial" w:cs="Arial"/>
          <w:color w:val="252525"/>
        </w:rPr>
        <w:t> </w:t>
      </w:r>
      <w:hyperlink r:id="rId7" w:tooltip="Collezione Farnese" w:history="1">
        <w:r w:rsidRPr="00E84453">
          <w:rPr>
            <w:rStyle w:val="Collegamentoipertestuale"/>
            <w:rFonts w:ascii="Arial" w:hAnsi="Arial" w:cs="Arial"/>
            <w:color w:val="0B0080"/>
          </w:rPr>
          <w:t>Collezione Farnese</w:t>
        </w:r>
      </w:hyperlink>
      <w:r w:rsidRPr="00E84453">
        <w:rPr>
          <w:rFonts w:ascii="Arial" w:hAnsi="Arial" w:cs="Arial"/>
          <w:color w:val="252525"/>
        </w:rPr>
        <w:t xml:space="preserve">, trasmigrò prima a Parma (dove è attestata in un inventario seicentesco </w:t>
      </w:r>
      <w:proofErr w:type="spellStart"/>
      <w:r w:rsidRPr="00E84453">
        <w:rPr>
          <w:rFonts w:ascii="Arial" w:hAnsi="Arial" w:cs="Arial"/>
          <w:color w:val="252525"/>
        </w:rPr>
        <w:t>di</w:t>
      </w:r>
      <w:hyperlink r:id="rId8" w:tooltip="Palazzo del Giardino" w:history="1">
        <w:r w:rsidRPr="00E84453">
          <w:rPr>
            <w:rStyle w:val="Collegamentoipertestuale"/>
            <w:rFonts w:ascii="Arial" w:hAnsi="Arial" w:cs="Arial"/>
            <w:color w:val="0B0080"/>
          </w:rPr>
          <w:t>Palazzo</w:t>
        </w:r>
        <w:proofErr w:type="spellEnd"/>
        <w:r w:rsidRPr="00E84453">
          <w:rPr>
            <w:rStyle w:val="Collegamentoipertestuale"/>
            <w:rFonts w:ascii="Arial" w:hAnsi="Arial" w:cs="Arial"/>
            <w:color w:val="0B0080"/>
          </w:rPr>
          <w:t xml:space="preserve"> del Giardino</w:t>
        </w:r>
      </w:hyperlink>
      <w:r w:rsidRPr="00E84453">
        <w:rPr>
          <w:rFonts w:ascii="Arial" w:hAnsi="Arial" w:cs="Arial"/>
          <w:color w:val="252525"/>
        </w:rPr>
        <w:t>, sede parmense delle raccolte farnesiane) e poi, nel Settecento, a Napoli.</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In seguito, tuttavia, del dipinto si persero le tracce, smarrimento che favorì il diffondersi dell'opinione, sostenuta da alcuni storici dell'arte, che la</w:t>
      </w:r>
      <w:r w:rsidRPr="00E84453">
        <w:rPr>
          <w:rStyle w:val="apple-converted-space"/>
          <w:rFonts w:ascii="Arial" w:hAnsi="Arial" w:cs="Arial"/>
          <w:color w:val="252525"/>
        </w:rPr>
        <w:t> </w:t>
      </w:r>
      <w:r w:rsidRPr="00E84453">
        <w:rPr>
          <w:rFonts w:ascii="Arial" w:hAnsi="Arial" w:cs="Arial"/>
          <w:i/>
          <w:iCs/>
          <w:color w:val="252525"/>
        </w:rPr>
        <w:t>Cananea</w:t>
      </w:r>
      <w:r w:rsidRPr="00E84453">
        <w:rPr>
          <w:rStyle w:val="apple-converted-space"/>
          <w:rFonts w:ascii="Arial" w:hAnsi="Arial" w:cs="Arial"/>
          <w:color w:val="252525"/>
        </w:rPr>
        <w:t> </w:t>
      </w:r>
      <w:r w:rsidRPr="00E84453">
        <w:rPr>
          <w:rFonts w:ascii="Arial" w:hAnsi="Arial" w:cs="Arial"/>
          <w:color w:val="252525"/>
        </w:rPr>
        <w:t>di Annibale fosse da individuarsi nella versione custodita presso il museo di Digione</w:t>
      </w:r>
      <w:hyperlink r:id="rId9" w:anchor="cite_note-2" w:history="1">
        <w:r w:rsidRPr="00E84453">
          <w:rPr>
            <w:rStyle w:val="Collegamentoipertestuale"/>
            <w:rFonts w:ascii="Arial" w:hAnsi="Arial" w:cs="Arial"/>
            <w:color w:val="0B0080"/>
            <w:vertAlign w:val="superscript"/>
          </w:rPr>
          <w:t>[2]</w:t>
        </w:r>
      </w:hyperlink>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 xml:space="preserve">Solo in tempi relativamente recenti (nel 1981) il dipinto è stato “riscoperto” da Charles </w:t>
      </w:r>
      <w:proofErr w:type="spellStart"/>
      <w:r w:rsidRPr="00E84453">
        <w:rPr>
          <w:rFonts w:ascii="Arial" w:hAnsi="Arial" w:cs="Arial"/>
          <w:color w:val="252525"/>
        </w:rPr>
        <w:t>Dempsey</w:t>
      </w:r>
      <w:proofErr w:type="spellEnd"/>
      <w:r w:rsidRPr="00E84453">
        <w:rPr>
          <w:rFonts w:ascii="Arial" w:hAnsi="Arial" w:cs="Arial"/>
          <w:color w:val="252525"/>
        </w:rPr>
        <w:t>, storico dell'arte statunitense e studioso di Annibale Carracci, che ha individuato l'originale della</w:t>
      </w:r>
      <w:r w:rsidRPr="00E84453">
        <w:rPr>
          <w:rStyle w:val="apple-converted-space"/>
          <w:rFonts w:ascii="Arial" w:hAnsi="Arial" w:cs="Arial"/>
          <w:color w:val="252525"/>
        </w:rPr>
        <w:t> </w:t>
      </w:r>
      <w:r w:rsidRPr="00E84453">
        <w:rPr>
          <w:rFonts w:ascii="Arial" w:hAnsi="Arial" w:cs="Arial"/>
          <w:i/>
          <w:iCs/>
          <w:color w:val="252525"/>
        </w:rPr>
        <w:t>Cananea</w:t>
      </w:r>
      <w:r w:rsidRPr="00E84453">
        <w:rPr>
          <w:rStyle w:val="apple-converted-space"/>
          <w:rFonts w:ascii="Arial" w:hAnsi="Arial" w:cs="Arial"/>
          <w:color w:val="252525"/>
        </w:rPr>
        <w:t> </w:t>
      </w:r>
      <w:r w:rsidRPr="00E84453">
        <w:rPr>
          <w:rFonts w:ascii="Arial" w:hAnsi="Arial" w:cs="Arial"/>
          <w:color w:val="252525"/>
        </w:rPr>
        <w:t>nella tela conservata nel Palazzo Comunale di Parma</w:t>
      </w:r>
      <w:hyperlink r:id="rId10" w:anchor="cite_note-Dempsey-3" w:history="1">
        <w:r w:rsidRPr="00E84453">
          <w:rPr>
            <w:rStyle w:val="Collegamentoipertestuale"/>
            <w:rFonts w:ascii="Arial" w:hAnsi="Arial" w:cs="Arial"/>
            <w:color w:val="0B0080"/>
            <w:vertAlign w:val="superscript"/>
          </w:rPr>
          <w:t>[3]</w:t>
        </w:r>
      </w:hyperlink>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 xml:space="preserve">Tra le considerazioni che hanno spinto lo storico a ritenere autografo il dipinto di Parma, vi è anche l'individuazione, nell'ambiente che un tempo a Palazzo Farnese ospitava la cappella, della cornice in stucco dell'opera di Annibale, le cui misure coincidono con la tela rintracciata dal </w:t>
      </w:r>
      <w:proofErr w:type="spellStart"/>
      <w:r w:rsidRPr="00E84453">
        <w:rPr>
          <w:rFonts w:ascii="Arial" w:hAnsi="Arial" w:cs="Arial"/>
          <w:color w:val="252525"/>
        </w:rPr>
        <w:t>Dempsey</w:t>
      </w:r>
      <w:proofErr w:type="spellEnd"/>
      <w:r w:rsidRPr="00E84453">
        <w:rPr>
          <w:rFonts w:ascii="Arial" w:hAnsi="Arial" w:cs="Arial"/>
          <w:color w:val="252525"/>
          <w:vertAlign w:val="superscript"/>
        </w:rPr>
        <w:fldChar w:fldCharType="begin"/>
      </w:r>
      <w:r w:rsidRPr="00E84453">
        <w:rPr>
          <w:rFonts w:ascii="Arial" w:hAnsi="Arial" w:cs="Arial"/>
          <w:color w:val="252525"/>
          <w:vertAlign w:val="superscript"/>
        </w:rPr>
        <w:instrText xml:space="preserve"> HYPERLINK "https://it.wikipedia.org/wiki/Cristo_e_la_Cananea" \l "cite_note-Dempsey-3" </w:instrText>
      </w:r>
      <w:r w:rsidRPr="00E84453">
        <w:rPr>
          <w:rFonts w:ascii="Arial" w:hAnsi="Arial" w:cs="Arial"/>
          <w:color w:val="252525"/>
          <w:vertAlign w:val="superscript"/>
        </w:rPr>
        <w:fldChar w:fldCharType="separate"/>
      </w:r>
      <w:r w:rsidRPr="00E84453">
        <w:rPr>
          <w:rStyle w:val="Collegamentoipertestuale"/>
          <w:rFonts w:ascii="Arial" w:hAnsi="Arial" w:cs="Arial"/>
          <w:color w:val="0B0080"/>
          <w:vertAlign w:val="superscript"/>
        </w:rPr>
        <w:t>[3]</w:t>
      </w:r>
      <w:r w:rsidRPr="00E84453">
        <w:rPr>
          <w:rFonts w:ascii="Arial" w:hAnsi="Arial" w:cs="Arial"/>
          <w:color w:val="252525"/>
          <w:vertAlign w:val="superscript"/>
        </w:rPr>
        <w:fldChar w:fldCharType="end"/>
      </w:r>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Questa attribuzione non è mai stata messa in discussione, mentre per il dipinto di Digione, ormai pacificamente ritenuto una copia sia pure di elevata qualità</w:t>
      </w:r>
      <w:hyperlink r:id="rId11" w:anchor="cite_note-PosnerII-1" w:history="1">
        <w:r w:rsidRPr="00E84453">
          <w:rPr>
            <w:rStyle w:val="Collegamentoipertestuale"/>
            <w:rFonts w:ascii="Arial" w:hAnsi="Arial" w:cs="Arial"/>
            <w:color w:val="0B0080"/>
            <w:vertAlign w:val="superscript"/>
          </w:rPr>
          <w:t>[1]</w:t>
        </w:r>
      </w:hyperlink>
      <w:r w:rsidRPr="00E84453">
        <w:rPr>
          <w:rFonts w:ascii="Arial" w:hAnsi="Arial" w:cs="Arial"/>
          <w:color w:val="252525"/>
        </w:rPr>
        <w:t xml:space="preserve">, si è risaliti anche all'autore, individuato in François </w:t>
      </w:r>
      <w:proofErr w:type="spellStart"/>
      <w:r w:rsidRPr="00E84453">
        <w:rPr>
          <w:rFonts w:ascii="Arial" w:hAnsi="Arial" w:cs="Arial"/>
          <w:color w:val="252525"/>
        </w:rPr>
        <w:t>Bonnemer</w:t>
      </w:r>
      <w:proofErr w:type="spellEnd"/>
      <w:r w:rsidRPr="00E84453">
        <w:rPr>
          <w:rFonts w:ascii="Arial" w:hAnsi="Arial" w:cs="Arial"/>
          <w:color w:val="252525"/>
        </w:rPr>
        <w:t>, pittore ed incisore francese di cui è documentato il soggiorno a Roma nel corso del Seicento</w:t>
      </w:r>
      <w:hyperlink r:id="rId12" w:anchor="cite_note-Dempsey-3" w:history="1">
        <w:r w:rsidRPr="00E84453">
          <w:rPr>
            <w:rStyle w:val="Collegamentoipertestuale"/>
            <w:rFonts w:ascii="Arial" w:hAnsi="Arial" w:cs="Arial"/>
            <w:color w:val="0B0080"/>
            <w:vertAlign w:val="superscript"/>
          </w:rPr>
          <w:t>[3]</w:t>
        </w:r>
      </w:hyperlink>
      <w:r w:rsidRPr="00E84453">
        <w:rPr>
          <w:rFonts w:ascii="Arial" w:hAnsi="Arial" w:cs="Arial"/>
          <w:color w:val="252525"/>
        </w:rPr>
        <w:t>.</w:t>
      </w:r>
    </w:p>
    <w:p w:rsidR="0039675D" w:rsidRPr="00E84453" w:rsidRDefault="0039675D" w:rsidP="0039675D">
      <w:pPr>
        <w:pStyle w:val="Titolo2"/>
        <w:pBdr>
          <w:bottom w:val="single" w:sz="6" w:space="0" w:color="AAAAAA"/>
        </w:pBdr>
        <w:shd w:val="clear" w:color="auto" w:fill="FFFFFF"/>
        <w:spacing w:before="240" w:beforeAutospacing="0" w:after="60" w:afterAutospacing="0"/>
        <w:jc w:val="both"/>
        <w:rPr>
          <w:rFonts w:ascii="Arial" w:hAnsi="Arial" w:cs="Arial"/>
          <w:b w:val="0"/>
          <w:bCs w:val="0"/>
          <w:color w:val="000000"/>
          <w:sz w:val="24"/>
          <w:szCs w:val="24"/>
        </w:rPr>
      </w:pPr>
      <w:r w:rsidRPr="00E84453">
        <w:rPr>
          <w:rStyle w:val="mw-headline"/>
          <w:rFonts w:ascii="Arial" w:eastAsia="Calibri" w:hAnsi="Arial" w:cs="Arial"/>
          <w:b w:val="0"/>
          <w:bCs w:val="0"/>
          <w:color w:val="000000"/>
          <w:sz w:val="24"/>
          <w:szCs w:val="24"/>
        </w:rPr>
        <w:t>Descrizione e stile</w:t>
      </w:r>
    </w:p>
    <w:p w:rsidR="0039675D" w:rsidRPr="00E84453" w:rsidRDefault="0039675D" w:rsidP="0039675D">
      <w:pPr>
        <w:shd w:val="clear" w:color="auto" w:fill="F9F9F9"/>
        <w:spacing w:line="336" w:lineRule="atLeast"/>
        <w:jc w:val="both"/>
        <w:rPr>
          <w:rFonts w:ascii="Arial" w:hAnsi="Arial" w:cs="Arial"/>
          <w:color w:val="252525"/>
          <w:sz w:val="24"/>
          <w:szCs w:val="24"/>
        </w:rPr>
      </w:pP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Il dipinto raffigura un</w:t>
      </w:r>
      <w:r w:rsidRPr="00E84453">
        <w:rPr>
          <w:rStyle w:val="apple-converted-space"/>
          <w:rFonts w:ascii="Arial" w:hAnsi="Arial" w:cs="Arial"/>
          <w:color w:val="252525"/>
        </w:rPr>
        <w:t> </w:t>
      </w:r>
      <w:hyperlink r:id="rId13" w:tooltip="Guarigione della figlia della Cananea" w:history="1">
        <w:r w:rsidRPr="00E84453">
          <w:rPr>
            <w:rStyle w:val="Collegamentoipertestuale"/>
            <w:rFonts w:ascii="Arial" w:hAnsi="Arial" w:cs="Arial"/>
            <w:color w:val="0B0080"/>
          </w:rPr>
          <w:t>episodio evangelico</w:t>
        </w:r>
      </w:hyperlink>
      <w:r w:rsidRPr="00E84453">
        <w:rPr>
          <w:rStyle w:val="apple-converted-space"/>
          <w:rFonts w:ascii="Arial" w:hAnsi="Arial" w:cs="Arial"/>
          <w:color w:val="252525"/>
        </w:rPr>
        <w:t> </w:t>
      </w:r>
      <w:r w:rsidRPr="00E84453">
        <w:rPr>
          <w:rFonts w:ascii="Arial" w:hAnsi="Arial" w:cs="Arial"/>
          <w:color w:val="252525"/>
        </w:rPr>
        <w:t>narrato da</w:t>
      </w:r>
      <w:r w:rsidRPr="00E84453">
        <w:rPr>
          <w:rStyle w:val="apple-converted-space"/>
          <w:rFonts w:ascii="Arial" w:hAnsi="Arial" w:cs="Arial"/>
          <w:color w:val="252525"/>
        </w:rPr>
        <w:t> </w:t>
      </w:r>
      <w:hyperlink r:id="rId14" w:tooltip="Matteo apostolo ed evangelista" w:history="1">
        <w:r w:rsidRPr="00E84453">
          <w:rPr>
            <w:rStyle w:val="Collegamentoipertestuale"/>
            <w:rFonts w:ascii="Arial" w:hAnsi="Arial" w:cs="Arial"/>
            <w:color w:val="0B0080"/>
          </w:rPr>
          <w:t>Matteo</w:t>
        </w:r>
      </w:hyperlink>
      <w:r w:rsidRPr="00E84453">
        <w:rPr>
          <w:rStyle w:val="apple-converted-space"/>
          <w:rFonts w:ascii="Arial" w:hAnsi="Arial" w:cs="Arial"/>
          <w:color w:val="252525"/>
        </w:rPr>
        <w:t> </w:t>
      </w:r>
      <w:r w:rsidRPr="00E84453">
        <w:rPr>
          <w:rFonts w:ascii="Arial" w:hAnsi="Arial" w:cs="Arial"/>
          <w:color w:val="252525"/>
        </w:rPr>
        <w:t>e da</w:t>
      </w:r>
      <w:r w:rsidRPr="00E84453">
        <w:rPr>
          <w:rStyle w:val="apple-converted-space"/>
          <w:rFonts w:ascii="Arial" w:hAnsi="Arial" w:cs="Arial"/>
          <w:color w:val="252525"/>
        </w:rPr>
        <w:t> </w:t>
      </w:r>
      <w:hyperlink r:id="rId15" w:tooltip="Marco evangelista" w:history="1">
        <w:r w:rsidRPr="00E84453">
          <w:rPr>
            <w:rStyle w:val="Collegamentoipertestuale"/>
            <w:rFonts w:ascii="Arial" w:hAnsi="Arial" w:cs="Arial"/>
            <w:color w:val="0B0080"/>
          </w:rPr>
          <w:t>Marco</w:t>
        </w:r>
      </w:hyperlink>
      <w:r w:rsidRPr="00E84453">
        <w:rPr>
          <w:rFonts w:ascii="Arial" w:hAnsi="Arial" w:cs="Arial"/>
          <w:color w:val="252525"/>
        </w:rPr>
        <w:t>. Gesù nel corso della sua predicazione è implorato da una donna Cananea (cioè della regione di</w:t>
      </w:r>
      <w:r w:rsidRPr="00E84453">
        <w:rPr>
          <w:rStyle w:val="apple-converted-space"/>
          <w:rFonts w:ascii="Arial" w:hAnsi="Arial" w:cs="Arial"/>
          <w:color w:val="252525"/>
        </w:rPr>
        <w:t> </w:t>
      </w:r>
      <w:proofErr w:type="spellStart"/>
      <w:r w:rsidRPr="00E84453">
        <w:rPr>
          <w:rFonts w:ascii="Arial" w:hAnsi="Arial" w:cs="Arial"/>
          <w:color w:val="252525"/>
        </w:rPr>
        <w:fldChar w:fldCharType="begin"/>
      </w:r>
      <w:r w:rsidRPr="00E84453">
        <w:rPr>
          <w:rFonts w:ascii="Arial" w:hAnsi="Arial" w:cs="Arial"/>
          <w:color w:val="252525"/>
        </w:rPr>
        <w:instrText xml:space="preserve"> HYPERLINK "https://it.wikipedia.org/wiki/Canaan" \o "Canaan" </w:instrText>
      </w:r>
      <w:r w:rsidRPr="00E84453">
        <w:rPr>
          <w:rFonts w:ascii="Arial" w:hAnsi="Arial" w:cs="Arial"/>
          <w:color w:val="252525"/>
        </w:rPr>
        <w:fldChar w:fldCharType="separate"/>
      </w:r>
      <w:r w:rsidRPr="00E84453">
        <w:rPr>
          <w:rStyle w:val="Collegamentoipertestuale"/>
          <w:rFonts w:ascii="Arial" w:hAnsi="Arial" w:cs="Arial"/>
          <w:color w:val="0B0080"/>
        </w:rPr>
        <w:t>Canaan</w:t>
      </w:r>
      <w:proofErr w:type="spellEnd"/>
      <w:r w:rsidRPr="00E84453">
        <w:rPr>
          <w:rFonts w:ascii="Arial" w:hAnsi="Arial" w:cs="Arial"/>
          <w:color w:val="252525"/>
        </w:rPr>
        <w:fldChar w:fldCharType="end"/>
      </w:r>
      <w:r w:rsidRPr="00E84453">
        <w:rPr>
          <w:rFonts w:ascii="Arial" w:hAnsi="Arial" w:cs="Arial"/>
          <w:color w:val="252525"/>
        </w:rPr>
        <w:t>, quindi una pagana) affinché egli guarisca sua figlia ammalata (o indemoniata). Gesù, a causa della fede non ebraica della donna, è apparentemente sprezzante, ma constatatane la conversione esaudisce la sua richiesta guarendo la figlia della Cananea, come la donna verificherà appena tornata a casa dalla bambina.</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Probabilmente prima opera romana di Annibale, la tela è ancora fortemente legata all’eredità che il Carracci portava con sé da Bologna. Spicca in particolare l'affinità che questo dipinto mostra con la tela di identico soggetto realizzata un paio di anni prima da suo cugino</w:t>
      </w:r>
      <w:r w:rsidRPr="00E84453">
        <w:rPr>
          <w:rStyle w:val="apple-converted-space"/>
          <w:rFonts w:ascii="Arial" w:hAnsi="Arial" w:cs="Arial"/>
          <w:color w:val="252525"/>
        </w:rPr>
        <w:t> </w:t>
      </w:r>
      <w:hyperlink r:id="rId16" w:tooltip="Ludovico Carracci" w:history="1">
        <w:r w:rsidRPr="00E84453">
          <w:rPr>
            <w:rStyle w:val="Collegamentoipertestuale"/>
            <w:rFonts w:ascii="Arial" w:hAnsi="Arial" w:cs="Arial"/>
            <w:color w:val="0B0080"/>
          </w:rPr>
          <w:t>Ludovico Carracci</w:t>
        </w:r>
      </w:hyperlink>
      <w:r w:rsidRPr="00E84453">
        <w:rPr>
          <w:rFonts w:ascii="Arial" w:hAnsi="Arial" w:cs="Arial"/>
          <w:color w:val="252525"/>
        </w:rPr>
        <w:t>, nell'ambito della campagna decorativa di Palazzo Sampieri, a Bologna, cui parteciparono lo stesso Annibale ed</w:t>
      </w:r>
      <w:r w:rsidRPr="00E84453">
        <w:rPr>
          <w:rStyle w:val="apple-converted-space"/>
          <w:rFonts w:ascii="Arial" w:hAnsi="Arial" w:cs="Arial"/>
          <w:color w:val="252525"/>
        </w:rPr>
        <w:t> </w:t>
      </w:r>
      <w:hyperlink r:id="rId17" w:tooltip="Agostino Carracci" w:history="1">
        <w:r w:rsidRPr="00E84453">
          <w:rPr>
            <w:rStyle w:val="Collegamentoipertestuale"/>
            <w:rFonts w:ascii="Arial" w:hAnsi="Arial" w:cs="Arial"/>
            <w:color w:val="0B0080"/>
          </w:rPr>
          <w:t>Agostino Carracci</w:t>
        </w:r>
      </w:hyperlink>
      <w:hyperlink r:id="rId18" w:anchor="cite_note-Ginzburg_Cananea-4" w:history="1">
        <w:r w:rsidRPr="00E84453">
          <w:rPr>
            <w:rStyle w:val="Collegamentoipertestuale"/>
            <w:rFonts w:ascii="Arial" w:hAnsi="Arial" w:cs="Arial"/>
            <w:color w:val="0B0080"/>
            <w:vertAlign w:val="superscript"/>
          </w:rPr>
          <w:t>[4]</w:t>
        </w:r>
      </w:hyperlink>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lastRenderedPageBreak/>
        <w:t>Discusso invece è se la</w:t>
      </w:r>
      <w:r w:rsidRPr="00E84453">
        <w:rPr>
          <w:rStyle w:val="apple-converted-space"/>
          <w:rFonts w:ascii="Arial" w:hAnsi="Arial" w:cs="Arial"/>
          <w:color w:val="252525"/>
        </w:rPr>
        <w:t> </w:t>
      </w:r>
      <w:r w:rsidRPr="00E84453">
        <w:rPr>
          <w:rFonts w:ascii="Arial" w:hAnsi="Arial" w:cs="Arial"/>
          <w:i/>
          <w:iCs/>
          <w:color w:val="252525"/>
        </w:rPr>
        <w:t>Cananea</w:t>
      </w:r>
      <w:r w:rsidRPr="00E84453">
        <w:rPr>
          <w:rStyle w:val="apple-converted-space"/>
          <w:rFonts w:ascii="Arial" w:hAnsi="Arial" w:cs="Arial"/>
          <w:color w:val="252525"/>
        </w:rPr>
        <w:t> </w:t>
      </w:r>
      <w:r w:rsidRPr="00E84453">
        <w:rPr>
          <w:rFonts w:ascii="Arial" w:hAnsi="Arial" w:cs="Arial"/>
          <w:color w:val="252525"/>
        </w:rPr>
        <w:t>di Annibale possa essere messa in diretto rapporto con il</w:t>
      </w:r>
      <w:r w:rsidRPr="00E84453">
        <w:rPr>
          <w:rStyle w:val="apple-converted-space"/>
          <w:rFonts w:ascii="Arial" w:hAnsi="Arial" w:cs="Arial"/>
          <w:color w:val="252525"/>
        </w:rPr>
        <w:t> </w:t>
      </w:r>
      <w:hyperlink r:id="rId19" w:tooltip="Noli me tangere (Correggio)" w:history="1">
        <w:r w:rsidRPr="00E84453">
          <w:rPr>
            <w:rStyle w:val="Collegamentoipertestuale"/>
            <w:rFonts w:ascii="Arial" w:hAnsi="Arial" w:cs="Arial"/>
            <w:i/>
            <w:iCs/>
            <w:color w:val="0B0080"/>
          </w:rPr>
          <w:t>Noli me tangere</w:t>
        </w:r>
      </w:hyperlink>
      <w:r w:rsidRPr="00E84453">
        <w:rPr>
          <w:rStyle w:val="apple-converted-space"/>
          <w:rFonts w:ascii="Arial" w:hAnsi="Arial" w:cs="Arial"/>
          <w:color w:val="252525"/>
        </w:rPr>
        <w:t> </w:t>
      </w:r>
      <w:r w:rsidRPr="00E84453">
        <w:rPr>
          <w:rFonts w:ascii="Arial" w:hAnsi="Arial" w:cs="Arial"/>
          <w:color w:val="252525"/>
        </w:rPr>
        <w:t>di</w:t>
      </w:r>
      <w:r w:rsidRPr="00E84453">
        <w:rPr>
          <w:rStyle w:val="apple-converted-space"/>
          <w:rFonts w:ascii="Arial" w:hAnsi="Arial" w:cs="Arial"/>
          <w:color w:val="252525"/>
        </w:rPr>
        <w:t> </w:t>
      </w:r>
      <w:hyperlink r:id="rId20" w:tooltip="Correggio (pittore)" w:history="1">
        <w:r w:rsidRPr="00E84453">
          <w:rPr>
            <w:rStyle w:val="Collegamentoipertestuale"/>
            <w:rFonts w:ascii="Arial" w:hAnsi="Arial" w:cs="Arial"/>
            <w:color w:val="0B0080"/>
          </w:rPr>
          <w:t>Correggio</w:t>
        </w:r>
      </w:hyperlink>
      <w:r w:rsidRPr="00E84453">
        <w:rPr>
          <w:rFonts w:ascii="Arial" w:hAnsi="Arial" w:cs="Arial"/>
          <w:color w:val="252525"/>
        </w:rPr>
        <w:t>, col quale pure sembra mostrare assonanza compositiva. Infatti, benché quest'opera sia stata per un certo tempo a Bologna, si ignora se Annibale (allora) l'abbia mai vista</w:t>
      </w:r>
      <w:hyperlink r:id="rId21" w:anchor="cite_note-Ginzburg_Cananea-4" w:history="1">
        <w:r w:rsidRPr="00E84453">
          <w:rPr>
            <w:rStyle w:val="Collegamentoipertestuale"/>
            <w:rFonts w:ascii="Arial" w:hAnsi="Arial" w:cs="Arial"/>
            <w:color w:val="0B0080"/>
            <w:vertAlign w:val="superscript"/>
          </w:rPr>
          <w:t>[4]</w:t>
        </w:r>
      </w:hyperlink>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Secondo alcune posizioni critiche il più giovane dei Carracci avrebbe conosciuto questo dipinto del Correggio solo dopo l’ingresso dello stesso nelle collezioni romane di</w:t>
      </w:r>
      <w:r w:rsidRPr="00E84453">
        <w:rPr>
          <w:rStyle w:val="apple-converted-space"/>
          <w:rFonts w:ascii="Arial" w:hAnsi="Arial" w:cs="Arial"/>
          <w:color w:val="252525"/>
        </w:rPr>
        <w:t> </w:t>
      </w:r>
      <w:hyperlink r:id="rId22" w:tooltip="Pietro Aldobrandini" w:history="1">
        <w:r w:rsidRPr="00E84453">
          <w:rPr>
            <w:rStyle w:val="Collegamentoipertestuale"/>
            <w:rFonts w:ascii="Arial" w:hAnsi="Arial" w:cs="Arial"/>
            <w:color w:val="0B0080"/>
          </w:rPr>
          <w:t>Pietro Aldobrandini</w:t>
        </w:r>
      </w:hyperlink>
      <w:r w:rsidRPr="00E84453">
        <w:rPr>
          <w:rStyle w:val="apple-converted-space"/>
          <w:rFonts w:ascii="Arial" w:hAnsi="Arial" w:cs="Arial"/>
          <w:color w:val="252525"/>
        </w:rPr>
        <w:t> </w:t>
      </w:r>
      <w:r w:rsidRPr="00E84453">
        <w:rPr>
          <w:rFonts w:ascii="Arial" w:hAnsi="Arial" w:cs="Arial"/>
          <w:color w:val="252525"/>
        </w:rPr>
        <w:t>(nel 1598), come dimostrerebbe il richiamo che egli ne fa in alcune opere successive a questa data</w:t>
      </w:r>
      <w:hyperlink r:id="rId23" w:anchor="cite_note-Ginzburg_Cananea-4" w:history="1">
        <w:r w:rsidRPr="00E84453">
          <w:rPr>
            <w:rStyle w:val="Collegamentoipertestuale"/>
            <w:rFonts w:ascii="Arial" w:hAnsi="Arial" w:cs="Arial"/>
            <w:color w:val="0B0080"/>
            <w:vertAlign w:val="superscript"/>
          </w:rPr>
          <w:t>[4]</w:t>
        </w:r>
      </w:hyperlink>
      <w:r w:rsidRPr="00E84453">
        <w:rPr>
          <w:rFonts w:ascii="Arial" w:hAnsi="Arial" w:cs="Arial"/>
          <w:color w:val="252525"/>
        </w:rPr>
        <w:t>. La vicinanza della</w:t>
      </w:r>
      <w:r w:rsidRPr="00E84453">
        <w:rPr>
          <w:rStyle w:val="apple-converted-space"/>
          <w:rFonts w:ascii="Arial" w:hAnsi="Arial" w:cs="Arial"/>
          <w:color w:val="252525"/>
        </w:rPr>
        <w:t> </w:t>
      </w:r>
      <w:r w:rsidRPr="00E84453">
        <w:rPr>
          <w:rFonts w:ascii="Arial" w:hAnsi="Arial" w:cs="Arial"/>
          <w:i/>
          <w:iCs/>
          <w:color w:val="252525"/>
        </w:rPr>
        <w:t>Cananea</w:t>
      </w:r>
      <w:r w:rsidRPr="00E84453">
        <w:rPr>
          <w:rStyle w:val="apple-converted-space"/>
          <w:rFonts w:ascii="Arial" w:hAnsi="Arial" w:cs="Arial"/>
          <w:color w:val="252525"/>
        </w:rPr>
        <w:t> </w:t>
      </w:r>
      <w:r w:rsidRPr="00E84453">
        <w:rPr>
          <w:rFonts w:ascii="Arial" w:hAnsi="Arial" w:cs="Arial"/>
          <w:color w:val="252525"/>
        </w:rPr>
        <w:t>di Parma con il dipinto di Correggio si limiterebbe - in questa chiave di lettura - ad una citazione di seconda mano, derivata cioè dalla</w:t>
      </w:r>
      <w:r w:rsidRPr="00E84453">
        <w:rPr>
          <w:rStyle w:val="apple-converted-space"/>
          <w:rFonts w:ascii="Arial" w:hAnsi="Arial" w:cs="Arial"/>
          <w:color w:val="252525"/>
        </w:rPr>
        <w:t> </w:t>
      </w:r>
      <w:r w:rsidRPr="00E84453">
        <w:rPr>
          <w:rFonts w:ascii="Arial" w:hAnsi="Arial" w:cs="Arial"/>
          <w:i/>
          <w:iCs/>
          <w:color w:val="252525"/>
        </w:rPr>
        <w:t>Cananea</w:t>
      </w:r>
      <w:r w:rsidRPr="00E84453">
        <w:rPr>
          <w:rStyle w:val="apple-converted-space"/>
          <w:rFonts w:ascii="Arial" w:hAnsi="Arial" w:cs="Arial"/>
          <w:color w:val="252525"/>
        </w:rPr>
        <w:t> </w:t>
      </w:r>
      <w:r w:rsidRPr="00E84453">
        <w:rPr>
          <w:rFonts w:ascii="Arial" w:hAnsi="Arial" w:cs="Arial"/>
          <w:color w:val="252525"/>
        </w:rPr>
        <w:t>di Ludovico, che forse conosceva il</w:t>
      </w:r>
      <w:r w:rsidRPr="00E84453">
        <w:rPr>
          <w:rStyle w:val="apple-converted-space"/>
          <w:rFonts w:ascii="Arial" w:hAnsi="Arial" w:cs="Arial"/>
          <w:color w:val="252525"/>
        </w:rPr>
        <w:t> </w:t>
      </w:r>
      <w:r w:rsidRPr="00E84453">
        <w:rPr>
          <w:rFonts w:ascii="Arial" w:hAnsi="Arial" w:cs="Arial"/>
          <w:i/>
          <w:iCs/>
          <w:color w:val="252525"/>
        </w:rPr>
        <w:t>Noli me tangere</w:t>
      </w:r>
      <w:r w:rsidRPr="00E84453">
        <w:rPr>
          <w:rStyle w:val="apple-converted-space"/>
          <w:rFonts w:ascii="Arial" w:hAnsi="Arial" w:cs="Arial"/>
          <w:color w:val="252525"/>
        </w:rPr>
        <w:t> </w:t>
      </w:r>
      <w:r w:rsidRPr="00E84453">
        <w:rPr>
          <w:rFonts w:ascii="Arial" w:hAnsi="Arial" w:cs="Arial"/>
          <w:color w:val="252525"/>
        </w:rPr>
        <w:t>dell’Allegri già quando il quadro era a Bologna</w:t>
      </w:r>
      <w:hyperlink r:id="rId24" w:anchor="cite_note-Ginzburg_Cananea-4" w:history="1">
        <w:r w:rsidRPr="00E84453">
          <w:rPr>
            <w:rStyle w:val="Collegamentoipertestuale"/>
            <w:rFonts w:ascii="Arial" w:hAnsi="Arial" w:cs="Arial"/>
            <w:color w:val="0B0080"/>
            <w:vertAlign w:val="superscript"/>
          </w:rPr>
          <w:t>[4]</w:t>
        </w:r>
      </w:hyperlink>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Benché la tela risalga (come sembra) ai primissimi tempi del soggiorno romano di Annibale, in essa, tuttavia, si è scorta già una prima reazione agli stimoli che la Città eterna poteva offrirgli. Nel viso della</w:t>
      </w:r>
      <w:r w:rsidRPr="00E84453">
        <w:rPr>
          <w:rStyle w:val="apple-converted-space"/>
          <w:rFonts w:ascii="Arial" w:hAnsi="Arial" w:cs="Arial"/>
          <w:color w:val="252525"/>
        </w:rPr>
        <w:t> </w:t>
      </w:r>
      <w:r w:rsidRPr="00E84453">
        <w:rPr>
          <w:rFonts w:ascii="Arial" w:hAnsi="Arial" w:cs="Arial"/>
          <w:i/>
          <w:iCs/>
          <w:color w:val="252525"/>
        </w:rPr>
        <w:t>Cananea</w:t>
      </w:r>
      <w:r w:rsidRPr="00E84453">
        <w:rPr>
          <w:rFonts w:ascii="Arial" w:hAnsi="Arial" w:cs="Arial"/>
          <w:color w:val="252525"/>
        </w:rPr>
        <w:t>, infatti, si è vista una trasposizione del volto della statua di Niobe, facente parte del</w:t>
      </w:r>
      <w:r w:rsidRPr="00E84453">
        <w:rPr>
          <w:rStyle w:val="apple-converted-space"/>
          <w:rFonts w:ascii="Arial" w:hAnsi="Arial" w:cs="Arial"/>
          <w:color w:val="252525"/>
        </w:rPr>
        <w:t> </w:t>
      </w:r>
      <w:r w:rsidRPr="00E84453">
        <w:rPr>
          <w:rFonts w:ascii="Arial" w:hAnsi="Arial" w:cs="Arial"/>
          <w:i/>
          <w:iCs/>
          <w:color w:val="252525"/>
        </w:rPr>
        <w:t xml:space="preserve">Gruppo dei </w:t>
      </w:r>
      <w:proofErr w:type="spellStart"/>
      <w:r w:rsidRPr="00E84453">
        <w:rPr>
          <w:rFonts w:ascii="Arial" w:hAnsi="Arial" w:cs="Arial"/>
          <w:i/>
          <w:iCs/>
          <w:color w:val="252525"/>
        </w:rPr>
        <w:t>Niobidi</w:t>
      </w:r>
      <w:proofErr w:type="spellEnd"/>
      <w:r w:rsidRPr="00E84453">
        <w:rPr>
          <w:rFonts w:ascii="Arial" w:hAnsi="Arial" w:cs="Arial"/>
          <w:color w:val="252525"/>
        </w:rPr>
        <w:t>, un tempo a</w:t>
      </w:r>
      <w:r w:rsidRPr="00E84453">
        <w:rPr>
          <w:rStyle w:val="apple-converted-space"/>
          <w:rFonts w:ascii="Arial" w:hAnsi="Arial" w:cs="Arial"/>
          <w:color w:val="252525"/>
        </w:rPr>
        <w:t> </w:t>
      </w:r>
      <w:hyperlink r:id="rId25" w:tooltip="Villa Medici" w:history="1">
        <w:r w:rsidRPr="00E84453">
          <w:rPr>
            <w:rStyle w:val="Collegamentoipertestuale"/>
            <w:rFonts w:ascii="Arial" w:hAnsi="Arial" w:cs="Arial"/>
            <w:color w:val="0B0080"/>
          </w:rPr>
          <w:t>Villa Medici</w:t>
        </w:r>
      </w:hyperlink>
      <w:r w:rsidRPr="00E84453">
        <w:rPr>
          <w:rStyle w:val="apple-converted-space"/>
          <w:rFonts w:ascii="Arial" w:hAnsi="Arial" w:cs="Arial"/>
          <w:color w:val="252525"/>
        </w:rPr>
        <w:t> </w:t>
      </w:r>
      <w:r w:rsidRPr="00E84453">
        <w:rPr>
          <w:rFonts w:ascii="Arial" w:hAnsi="Arial" w:cs="Arial"/>
          <w:color w:val="252525"/>
        </w:rPr>
        <w:t>sul Pincio ed ora agli Uffizi</w:t>
      </w:r>
      <w:hyperlink r:id="rId26" w:anchor="cite_note-5" w:history="1">
        <w:r w:rsidRPr="00E84453">
          <w:rPr>
            <w:rStyle w:val="Collegamentoipertestuale"/>
            <w:rFonts w:ascii="Arial" w:hAnsi="Arial" w:cs="Arial"/>
            <w:color w:val="0B0080"/>
            <w:vertAlign w:val="superscript"/>
          </w:rPr>
          <w:t>[5]</w:t>
        </w:r>
      </w:hyperlink>
      <w:r w:rsidRPr="00E84453">
        <w:rPr>
          <w:rFonts w:ascii="Arial" w:hAnsi="Arial" w:cs="Arial"/>
          <w:color w:val="252525"/>
        </w:rPr>
        <w:t>. Volto riprodotto da Annibale anche in uno dei suoi disegni più famosi</w:t>
      </w:r>
      <w:hyperlink r:id="rId27" w:anchor="cite_note-6" w:history="1">
        <w:r w:rsidRPr="00E84453">
          <w:rPr>
            <w:rStyle w:val="Collegamentoipertestuale"/>
            <w:rFonts w:ascii="Arial" w:hAnsi="Arial" w:cs="Arial"/>
            <w:color w:val="0B0080"/>
            <w:vertAlign w:val="superscript"/>
          </w:rPr>
          <w:t>[6]</w:t>
        </w:r>
      </w:hyperlink>
      <w:r w:rsidRPr="00E84453">
        <w:rPr>
          <w:rFonts w:ascii="Arial" w:hAnsi="Arial" w:cs="Arial"/>
          <w:color w:val="252525"/>
        </w:rPr>
        <w:t>.</w:t>
      </w:r>
    </w:p>
    <w:p w:rsidR="0039675D" w:rsidRPr="00E84453" w:rsidRDefault="0039675D" w:rsidP="0039675D">
      <w:pPr>
        <w:pStyle w:val="NormaleWeb"/>
        <w:shd w:val="clear" w:color="auto" w:fill="FFFFFF"/>
        <w:spacing w:before="120" w:beforeAutospacing="0" w:after="120" w:afterAutospacing="0" w:line="336" w:lineRule="atLeast"/>
        <w:jc w:val="both"/>
        <w:rPr>
          <w:rFonts w:ascii="Arial" w:hAnsi="Arial" w:cs="Arial"/>
          <w:color w:val="252525"/>
        </w:rPr>
      </w:pPr>
      <w:r w:rsidRPr="00E84453">
        <w:rPr>
          <w:rFonts w:ascii="Arial" w:hAnsi="Arial" w:cs="Arial"/>
          <w:color w:val="252525"/>
        </w:rPr>
        <w:t>Le molte copie note della</w:t>
      </w:r>
      <w:r w:rsidRPr="00E84453">
        <w:rPr>
          <w:rStyle w:val="apple-converted-space"/>
          <w:rFonts w:ascii="Arial" w:hAnsi="Arial" w:cs="Arial"/>
          <w:color w:val="252525"/>
        </w:rPr>
        <w:t> </w:t>
      </w:r>
      <w:r w:rsidRPr="00E84453">
        <w:rPr>
          <w:rFonts w:ascii="Arial" w:hAnsi="Arial" w:cs="Arial"/>
          <w:i/>
          <w:iCs/>
          <w:color w:val="252525"/>
        </w:rPr>
        <w:t>Cananea</w:t>
      </w:r>
      <w:r w:rsidRPr="00E84453">
        <w:rPr>
          <w:rStyle w:val="apple-converted-space"/>
          <w:rFonts w:ascii="Arial" w:hAnsi="Arial" w:cs="Arial"/>
          <w:color w:val="252525"/>
        </w:rPr>
        <w:t> </w:t>
      </w:r>
      <w:r w:rsidRPr="00E84453">
        <w:rPr>
          <w:rFonts w:ascii="Arial" w:hAnsi="Arial" w:cs="Arial"/>
          <w:color w:val="252525"/>
        </w:rPr>
        <w:t>di Annibale (oltre a quella di Digione) e le incisioni che ne sono state tratte (tra le quali si segnalano quelle di</w:t>
      </w:r>
      <w:r w:rsidRPr="00E84453">
        <w:rPr>
          <w:rStyle w:val="apple-converted-space"/>
          <w:rFonts w:ascii="Arial" w:hAnsi="Arial" w:cs="Arial"/>
          <w:color w:val="252525"/>
        </w:rPr>
        <w:t> </w:t>
      </w:r>
      <w:hyperlink r:id="rId28" w:tooltip="Pietro del Pò" w:history="1">
        <w:r w:rsidRPr="00E84453">
          <w:rPr>
            <w:rStyle w:val="Collegamentoipertestuale"/>
            <w:rFonts w:ascii="Arial" w:hAnsi="Arial" w:cs="Arial"/>
            <w:color w:val="0B0080"/>
          </w:rPr>
          <w:t xml:space="preserve">Pietro del </w:t>
        </w:r>
        <w:proofErr w:type="spellStart"/>
        <w:r w:rsidRPr="00E84453">
          <w:rPr>
            <w:rStyle w:val="Collegamentoipertestuale"/>
            <w:rFonts w:ascii="Arial" w:hAnsi="Arial" w:cs="Arial"/>
            <w:color w:val="0B0080"/>
          </w:rPr>
          <w:t>Pò</w:t>
        </w:r>
        <w:proofErr w:type="spellEnd"/>
      </w:hyperlink>
      <w:r w:rsidRPr="00E84453">
        <w:rPr>
          <w:rStyle w:val="apple-converted-space"/>
          <w:rFonts w:ascii="Arial" w:hAnsi="Arial" w:cs="Arial"/>
          <w:color w:val="252525"/>
        </w:rPr>
        <w:t> </w:t>
      </w:r>
      <w:r w:rsidRPr="00E84453">
        <w:rPr>
          <w:rFonts w:ascii="Arial" w:hAnsi="Arial" w:cs="Arial"/>
          <w:color w:val="252525"/>
        </w:rPr>
        <w:t>e di Carlo Cesi) comprovano, unitamente ai resoconti del Bellori e del Malvasia, la fama di cui godette quest'opera.</w:t>
      </w:r>
    </w:p>
    <w:p w:rsidR="0039675D" w:rsidRPr="00E84453" w:rsidRDefault="0039675D" w:rsidP="0039675D">
      <w:pPr>
        <w:jc w:val="both"/>
        <w:rPr>
          <w:rFonts w:ascii="Arial" w:hAnsi="Arial" w:cs="Arial"/>
          <w:sz w:val="24"/>
          <w:szCs w:val="24"/>
        </w:rPr>
      </w:pPr>
    </w:p>
    <w:p w:rsidR="0039675D" w:rsidRDefault="0039675D" w:rsidP="0039675D">
      <w:pPr>
        <w:jc w:val="both"/>
        <w:rPr>
          <w:sz w:val="40"/>
          <w:szCs w:val="40"/>
        </w:rPr>
      </w:pPr>
      <w:r>
        <w:rPr>
          <w:noProof/>
          <w:lang w:eastAsia="it-IT"/>
        </w:rPr>
        <w:lastRenderedPageBreak/>
        <w:drawing>
          <wp:inline distT="0" distB="0" distL="0" distR="0" wp14:anchorId="275EAC2F" wp14:editId="7600511A">
            <wp:extent cx="5706110" cy="7315200"/>
            <wp:effectExtent l="0" t="0" r="8890" b="0"/>
            <wp:docPr id="2" name="Immagine 2" descr="cananea-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nanea-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06110" cy="7315200"/>
                    </a:xfrm>
                    <a:prstGeom prst="rect">
                      <a:avLst/>
                    </a:prstGeom>
                    <a:noFill/>
                    <a:ln>
                      <a:noFill/>
                    </a:ln>
                  </pic:spPr>
                </pic:pic>
              </a:graphicData>
            </a:graphic>
          </wp:inline>
        </w:drawing>
      </w:r>
    </w:p>
    <w:p w:rsidR="0039675D" w:rsidRDefault="0039675D" w:rsidP="0039675D">
      <w:pPr>
        <w:jc w:val="both"/>
        <w:rPr>
          <w:sz w:val="40"/>
          <w:szCs w:val="40"/>
        </w:rPr>
      </w:pPr>
    </w:p>
    <w:p w:rsidR="0039675D" w:rsidRDefault="0039675D" w:rsidP="0039675D">
      <w:pPr>
        <w:jc w:val="both"/>
        <w:rPr>
          <w:sz w:val="40"/>
          <w:szCs w:val="40"/>
        </w:rPr>
      </w:pPr>
    </w:p>
    <w:p w:rsidR="0039675D" w:rsidRDefault="0039675D" w:rsidP="0039675D">
      <w:pPr>
        <w:jc w:val="both"/>
        <w:rPr>
          <w:sz w:val="40"/>
          <w:szCs w:val="40"/>
        </w:rPr>
      </w:pPr>
    </w:p>
    <w:p w:rsidR="0039675D" w:rsidRPr="00E84453" w:rsidRDefault="0039675D" w:rsidP="0039675D">
      <w:pPr>
        <w:jc w:val="both"/>
        <w:rPr>
          <w:rFonts w:ascii="Arial" w:hAnsi="Arial" w:cs="Arial"/>
          <w:b/>
          <w:bCs/>
          <w:color w:val="232323"/>
          <w:sz w:val="24"/>
          <w:szCs w:val="24"/>
          <w:shd w:val="clear" w:color="auto" w:fill="FFFFFF"/>
        </w:rPr>
      </w:pPr>
    </w:p>
    <w:p w:rsidR="0039675D" w:rsidRPr="00A10919" w:rsidRDefault="0039675D" w:rsidP="0039675D">
      <w:pPr>
        <w:jc w:val="both"/>
        <w:rPr>
          <w:rFonts w:ascii="Arial" w:hAnsi="Arial" w:cs="Arial"/>
          <w:bCs/>
          <w:color w:val="232323"/>
          <w:sz w:val="24"/>
          <w:szCs w:val="24"/>
          <w:shd w:val="clear" w:color="auto" w:fill="FFFFFF"/>
        </w:rPr>
      </w:pPr>
      <w:proofErr w:type="spellStart"/>
      <w:r w:rsidRPr="00E84453">
        <w:rPr>
          <w:rFonts w:ascii="Arial" w:hAnsi="Arial" w:cs="Arial"/>
          <w:b/>
          <w:bCs/>
          <w:color w:val="232323"/>
          <w:sz w:val="24"/>
          <w:szCs w:val="24"/>
          <w:shd w:val="clear" w:color="auto" w:fill="FFFFFF"/>
        </w:rPr>
        <w:t>Edvard</w:t>
      </w:r>
      <w:proofErr w:type="spellEnd"/>
      <w:r w:rsidRPr="00E84453">
        <w:rPr>
          <w:rFonts w:ascii="Arial" w:hAnsi="Arial" w:cs="Arial"/>
          <w:b/>
          <w:bCs/>
          <w:color w:val="232323"/>
          <w:sz w:val="24"/>
          <w:szCs w:val="24"/>
          <w:shd w:val="clear" w:color="auto" w:fill="FFFFFF"/>
        </w:rPr>
        <w:t xml:space="preserve"> </w:t>
      </w:r>
      <w:proofErr w:type="spellStart"/>
      <w:r w:rsidRPr="00E84453">
        <w:rPr>
          <w:rFonts w:ascii="Arial" w:hAnsi="Arial" w:cs="Arial"/>
          <w:b/>
          <w:bCs/>
          <w:color w:val="232323"/>
          <w:sz w:val="24"/>
          <w:szCs w:val="24"/>
          <w:shd w:val="clear" w:color="auto" w:fill="FFFFFF"/>
        </w:rPr>
        <w:t>Munch</w:t>
      </w:r>
      <w:proofErr w:type="spellEnd"/>
      <w:r w:rsidRPr="00E84453">
        <w:rPr>
          <w:rFonts w:ascii="Arial" w:hAnsi="Arial" w:cs="Arial"/>
          <w:bCs/>
          <w:i/>
          <w:color w:val="232323"/>
          <w:sz w:val="24"/>
          <w:szCs w:val="24"/>
          <w:shd w:val="clear" w:color="auto" w:fill="FFFFFF"/>
        </w:rPr>
        <w:t>, L’urlo</w:t>
      </w:r>
      <w:r w:rsidRPr="00E84453">
        <w:rPr>
          <w:rFonts w:ascii="Arial" w:hAnsi="Arial" w:cs="Arial"/>
          <w:b/>
          <w:bCs/>
          <w:color w:val="232323"/>
          <w:sz w:val="24"/>
          <w:szCs w:val="24"/>
          <w:shd w:val="clear" w:color="auto" w:fill="FFFFFF"/>
        </w:rPr>
        <w:t xml:space="preserve">, </w:t>
      </w:r>
      <w:r w:rsidRPr="00A10919">
        <w:rPr>
          <w:rFonts w:ascii="Arial" w:hAnsi="Arial" w:cs="Arial"/>
          <w:bCs/>
          <w:color w:val="232323"/>
          <w:sz w:val="24"/>
          <w:szCs w:val="24"/>
          <w:shd w:val="clear" w:color="auto" w:fill="FFFFFF"/>
        </w:rPr>
        <w:t xml:space="preserve">tempera su cartone, 1885, </w:t>
      </w:r>
      <w:proofErr w:type="spellStart"/>
      <w:r w:rsidRPr="00A10919">
        <w:rPr>
          <w:rFonts w:ascii="Arial" w:hAnsi="Arial" w:cs="Arial"/>
          <w:bCs/>
          <w:color w:val="232323"/>
          <w:sz w:val="24"/>
          <w:szCs w:val="24"/>
          <w:shd w:val="clear" w:color="auto" w:fill="FFFFFF"/>
        </w:rPr>
        <w:t>Munch</w:t>
      </w:r>
      <w:proofErr w:type="spellEnd"/>
      <w:r w:rsidRPr="00A10919">
        <w:rPr>
          <w:rFonts w:ascii="Arial" w:hAnsi="Arial" w:cs="Arial"/>
          <w:bCs/>
          <w:color w:val="232323"/>
          <w:sz w:val="24"/>
          <w:szCs w:val="24"/>
          <w:shd w:val="clear" w:color="auto" w:fill="FFFFFF"/>
        </w:rPr>
        <w:t xml:space="preserve"> </w:t>
      </w:r>
      <w:proofErr w:type="spellStart"/>
      <w:r w:rsidRPr="00A10919">
        <w:rPr>
          <w:rFonts w:ascii="Arial" w:hAnsi="Arial" w:cs="Arial"/>
          <w:bCs/>
          <w:color w:val="232323"/>
          <w:sz w:val="24"/>
          <w:szCs w:val="24"/>
          <w:shd w:val="clear" w:color="auto" w:fill="FFFFFF"/>
        </w:rPr>
        <w:t>Museet</w:t>
      </w:r>
      <w:proofErr w:type="spellEnd"/>
      <w:r w:rsidRPr="00A10919">
        <w:rPr>
          <w:rFonts w:ascii="Arial" w:hAnsi="Arial" w:cs="Arial"/>
          <w:bCs/>
          <w:color w:val="232323"/>
          <w:sz w:val="24"/>
          <w:szCs w:val="24"/>
          <w:shd w:val="clear" w:color="auto" w:fill="FFFFFF"/>
        </w:rPr>
        <w:t>, Oslo</w:t>
      </w:r>
    </w:p>
    <w:p w:rsidR="0039675D" w:rsidRDefault="0039675D" w:rsidP="0039675D">
      <w:pPr>
        <w:jc w:val="both"/>
        <w:rPr>
          <w:rFonts w:ascii="Arial" w:hAnsi="Arial" w:cs="Arial"/>
          <w:color w:val="232323"/>
          <w:sz w:val="24"/>
          <w:szCs w:val="24"/>
          <w:shd w:val="clear" w:color="auto" w:fill="FFFFFF"/>
        </w:rPr>
      </w:pPr>
      <w:r w:rsidRPr="00A10919">
        <w:rPr>
          <w:rFonts w:ascii="Arial" w:hAnsi="Arial" w:cs="Arial"/>
          <w:bCs/>
          <w:color w:val="232323"/>
          <w:sz w:val="24"/>
          <w:szCs w:val="24"/>
          <w:shd w:val="clear" w:color="auto" w:fill="FFFFFF"/>
        </w:rPr>
        <w:t>R</w:t>
      </w:r>
      <w:r w:rsidRPr="00E84453">
        <w:rPr>
          <w:rFonts w:ascii="Arial" w:hAnsi="Arial" w:cs="Arial"/>
          <w:color w:val="232323"/>
          <w:sz w:val="24"/>
          <w:szCs w:val="24"/>
          <w:shd w:val="clear" w:color="auto" w:fill="FFFFFF"/>
        </w:rPr>
        <w:t>ealizzato a Oslo</w:t>
      </w:r>
      <w:r>
        <w:rPr>
          <w:rFonts w:ascii="Arial" w:hAnsi="Arial" w:cs="Arial"/>
          <w:color w:val="232323"/>
          <w:sz w:val="24"/>
          <w:szCs w:val="24"/>
          <w:shd w:val="clear" w:color="auto" w:fill="FFFFFF"/>
        </w:rPr>
        <w:t>, è</w:t>
      </w:r>
      <w:r w:rsidRPr="00E84453">
        <w:rPr>
          <w:rFonts w:ascii="Arial" w:hAnsi="Arial" w:cs="Arial"/>
          <w:color w:val="232323"/>
          <w:sz w:val="24"/>
          <w:szCs w:val="24"/>
          <w:shd w:val="clear" w:color="auto" w:fill="FFFFFF"/>
        </w:rPr>
        <w:t xml:space="preserve"> uno dei più famosi dipinti dell'espressionismo nordico. Osservando il dipinto possiamo notare il primo piano di una persona che grida, simbolo dell'angoscia e dello smarrimento, (</w:t>
      </w:r>
      <w:r w:rsidRPr="00E84453">
        <w:rPr>
          <w:rFonts w:ascii="Arial" w:hAnsi="Arial" w:cs="Arial"/>
          <w:b/>
          <w:bCs/>
          <w:color w:val="232323"/>
          <w:sz w:val="24"/>
          <w:szCs w:val="24"/>
          <w:shd w:val="clear" w:color="auto" w:fill="FFFFFF"/>
        </w:rPr>
        <w:t>disperazione esistenziale</w:t>
      </w:r>
      <w:r w:rsidRPr="00E84453">
        <w:rPr>
          <w:rFonts w:ascii="Arial" w:hAnsi="Arial" w:cs="Arial"/>
          <w:color w:val="232323"/>
          <w:sz w:val="24"/>
          <w:szCs w:val="24"/>
          <w:shd w:val="clear" w:color="auto" w:fill="FFFFFF"/>
        </w:rPr>
        <w:t>) che segnano tutta la vita del pittore norvegese. Comunque molte sono le interpretazioni che sono state date: la più suggestiva è quella di un uomo che vedendo un tramonto rosso urli il suo stupore ed angoscia nel sentirsi piccolo nell'immensità dell'universo.</w:t>
      </w:r>
    </w:p>
    <w:p w:rsidR="0039675D" w:rsidRDefault="0039675D" w:rsidP="0039675D">
      <w:pPr>
        <w:jc w:val="both"/>
      </w:pPr>
      <w:bookmarkStart w:id="0" w:name="_GoBack"/>
      <w:bookmarkEnd w:id="0"/>
      <w:r>
        <w:rPr>
          <w:noProof/>
          <w:lang w:eastAsia="it-IT"/>
        </w:rPr>
        <w:drawing>
          <wp:inline distT="0" distB="0" distL="0" distR="0" wp14:anchorId="05343DF9" wp14:editId="403A1FBF">
            <wp:extent cx="4476750" cy="5676265"/>
            <wp:effectExtent l="0" t="0" r="0" b="635"/>
            <wp:docPr id="1" name="Immagine 1" descr="Risultati immagini per munch il gr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sultati immagini per munch il grido"/>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76750" cy="5676265"/>
                    </a:xfrm>
                    <a:prstGeom prst="rect">
                      <a:avLst/>
                    </a:prstGeom>
                    <a:noFill/>
                    <a:ln>
                      <a:noFill/>
                    </a:ln>
                  </pic:spPr>
                </pic:pic>
              </a:graphicData>
            </a:graphic>
          </wp:inline>
        </w:drawing>
      </w:r>
      <w:r>
        <w:rPr>
          <w:rFonts w:ascii="Trebuchet MS" w:hAnsi="Trebuchet MS"/>
          <w:color w:val="232323"/>
          <w:sz w:val="20"/>
          <w:szCs w:val="20"/>
        </w:rPr>
        <w:br/>
      </w:r>
    </w:p>
    <w:p w:rsidR="0039675D" w:rsidRDefault="0039675D" w:rsidP="0039675D">
      <w:pPr>
        <w:pStyle w:val="Titolo3"/>
        <w:shd w:val="clear" w:color="auto" w:fill="FFFFFF"/>
        <w:spacing w:before="0" w:beforeAutospacing="0" w:after="0" w:afterAutospacing="0"/>
        <w:jc w:val="both"/>
        <w:rPr>
          <w:rFonts w:ascii="Trebuchet MS" w:hAnsi="Trebuchet MS"/>
          <w:color w:val="232323"/>
        </w:rPr>
      </w:pPr>
    </w:p>
    <w:p w:rsidR="0039675D" w:rsidRDefault="0039675D" w:rsidP="0039675D">
      <w:pPr>
        <w:jc w:val="both"/>
        <w:rPr>
          <w:rFonts w:ascii="Arial" w:hAnsi="Arial" w:cs="Arial"/>
          <w:color w:val="232323"/>
          <w:sz w:val="24"/>
          <w:szCs w:val="24"/>
          <w:shd w:val="clear" w:color="auto" w:fill="FFFFFF"/>
        </w:rPr>
      </w:pPr>
      <w:r w:rsidRPr="00E84453">
        <w:rPr>
          <w:rFonts w:ascii="Arial" w:hAnsi="Arial" w:cs="Arial"/>
          <w:color w:val="232323"/>
          <w:sz w:val="24"/>
          <w:szCs w:val="24"/>
          <w:shd w:val="clear" w:color="auto" w:fill="FFFFFF"/>
        </w:rPr>
        <w:t xml:space="preserve">L'uomo in primo piano esprime, nella sua individualità, il dramma collettivo dell'umanità intera. Il ponte, la cui prospettiva si perde all'orizzonte, è il simbolo della vita, con le sue mille difficoltà. Le figure scure sullo sfondo indicano i falsi amici che non si accorgono del nostro sgomento e rappresentano quindi la falsità dei rapporti umani, si comportano come </w:t>
      </w:r>
      <w:r w:rsidRPr="00E84453">
        <w:rPr>
          <w:rFonts w:ascii="Arial" w:hAnsi="Arial" w:cs="Arial"/>
          <w:color w:val="232323"/>
          <w:sz w:val="24"/>
          <w:szCs w:val="24"/>
          <w:shd w:val="clear" w:color="auto" w:fill="FFFFFF"/>
        </w:rPr>
        <w:lastRenderedPageBreak/>
        <w:t>degli estranei. Le forme sono tutte innaturali. L'uomo che urla è un essere serpentinato, quasi senza scheletro, fatto della stessa materia filamentosa con cui è stato realizzato il paesaggio retrostante. Al posto della testa vi è un cranio senza capelli, le narici sono ridotte a due fori, gli occhi sono sbarrati e le labbra sono nere. L'urlo si propaga nelle convulse pieghe di colore del cielo, della terra e del mare. È l'urlo di chi si è perso dentro</w:t>
      </w:r>
      <w:r>
        <w:rPr>
          <w:rFonts w:ascii="Arial" w:hAnsi="Arial" w:cs="Arial"/>
          <w:color w:val="232323"/>
          <w:sz w:val="24"/>
          <w:szCs w:val="24"/>
          <w:shd w:val="clear" w:color="auto" w:fill="FFFFFF"/>
        </w:rPr>
        <w:t>.</w:t>
      </w:r>
      <w:r w:rsidRPr="00E84453">
        <w:rPr>
          <w:rFonts w:ascii="Arial" w:hAnsi="Arial" w:cs="Arial"/>
          <w:color w:val="232323"/>
          <w:sz w:val="24"/>
          <w:szCs w:val="24"/>
          <w:shd w:val="clear" w:color="auto" w:fill="FFFFFF"/>
        </w:rPr>
        <w:t xml:space="preserve"> se stesso e si sente solo anche tra gli altri.</w:t>
      </w:r>
    </w:p>
    <w:p w:rsidR="0039675D" w:rsidRPr="00E84453" w:rsidRDefault="0039675D" w:rsidP="0039675D">
      <w:pPr>
        <w:framePr w:hSpace="141" w:wrap="around" w:vAnchor="text" w:hAnchor="text" w:y="-340"/>
        <w:spacing w:before="100" w:beforeAutospacing="1" w:after="100" w:afterAutospacing="1" w:line="240" w:lineRule="auto"/>
        <w:jc w:val="both"/>
        <w:rPr>
          <w:rFonts w:ascii="Times New Roman" w:eastAsia="Times New Roman" w:hAnsi="Times New Roman"/>
          <w:sz w:val="24"/>
          <w:szCs w:val="24"/>
          <w:lang w:eastAsia="it-IT"/>
        </w:rPr>
      </w:pPr>
      <w:r w:rsidRPr="00E84453">
        <w:rPr>
          <w:rFonts w:ascii="Arial" w:eastAsia="Times New Roman" w:hAnsi="Arial" w:cs="Arial"/>
          <w:sz w:val="24"/>
          <w:szCs w:val="24"/>
          <w:lang w:eastAsia="it-IT"/>
        </w:rPr>
        <w:t xml:space="preserve">Questo è senz’altro il quadro più celebre di </w:t>
      </w:r>
      <w:proofErr w:type="spellStart"/>
      <w:r w:rsidRPr="00E84453">
        <w:rPr>
          <w:rFonts w:ascii="Arial" w:eastAsia="Times New Roman" w:hAnsi="Arial" w:cs="Arial"/>
          <w:sz w:val="24"/>
          <w:szCs w:val="24"/>
          <w:lang w:eastAsia="it-IT"/>
        </w:rPr>
        <w:t>Munch</w:t>
      </w:r>
      <w:proofErr w:type="spellEnd"/>
      <w:r w:rsidRPr="00E84453">
        <w:rPr>
          <w:rFonts w:ascii="Arial" w:eastAsia="Times New Roman" w:hAnsi="Arial" w:cs="Arial"/>
          <w:sz w:val="24"/>
          <w:szCs w:val="24"/>
          <w:lang w:eastAsia="it-IT"/>
        </w:rPr>
        <w:t xml:space="preserve"> ed, in assoluto, uno dei più famosi dell’espressionismo nordico. In esso è condensato tutto il rapporto angoscioso che l’artista avverte nei confronti della vita. Lo spunto del quadro lo troviamo descritto nel suo diario:</w:t>
      </w:r>
    </w:p>
    <w:p w:rsidR="0039675D" w:rsidRPr="00E84453" w:rsidRDefault="0039675D" w:rsidP="0039675D">
      <w:pPr>
        <w:framePr w:hSpace="141" w:wrap="around" w:vAnchor="text" w:hAnchor="text" w:y="-340"/>
        <w:spacing w:after="0" w:line="240" w:lineRule="auto"/>
        <w:jc w:val="both"/>
        <w:rPr>
          <w:rFonts w:ascii="Times New Roman" w:eastAsia="Times New Roman" w:hAnsi="Times New Roman"/>
          <w:i/>
          <w:iCs/>
          <w:sz w:val="24"/>
          <w:szCs w:val="24"/>
          <w:lang w:eastAsia="it-IT"/>
        </w:rPr>
      </w:pPr>
      <w:r w:rsidRPr="00E84453">
        <w:rPr>
          <w:rFonts w:ascii="Arial" w:eastAsia="Times New Roman" w:hAnsi="Arial" w:cs="Arial"/>
          <w:i/>
          <w:iCs/>
          <w:sz w:val="24"/>
          <w:szCs w:val="24"/>
          <w:lang w:eastAsia="it-IT"/>
        </w:rPr>
        <w:t>Camminavo lungo la strada con due amici</w:t>
      </w:r>
    </w:p>
    <w:p w:rsidR="0039675D" w:rsidRPr="00E84453" w:rsidRDefault="0039675D" w:rsidP="0039675D">
      <w:pPr>
        <w:framePr w:hSpace="141" w:wrap="around" w:vAnchor="text" w:hAnchor="text" w:y="-340"/>
        <w:spacing w:after="0" w:line="240" w:lineRule="auto"/>
        <w:jc w:val="both"/>
        <w:rPr>
          <w:rFonts w:ascii="Times New Roman" w:eastAsia="Times New Roman" w:hAnsi="Times New Roman"/>
          <w:i/>
          <w:iCs/>
          <w:sz w:val="24"/>
          <w:szCs w:val="24"/>
          <w:lang w:eastAsia="it-IT"/>
        </w:rPr>
      </w:pPr>
      <w:r w:rsidRPr="00E84453">
        <w:rPr>
          <w:rFonts w:ascii="Arial" w:eastAsia="Times New Roman" w:hAnsi="Arial" w:cs="Arial"/>
          <w:i/>
          <w:iCs/>
          <w:sz w:val="24"/>
          <w:szCs w:val="24"/>
          <w:lang w:eastAsia="it-IT"/>
        </w:rPr>
        <w:t>quando il sole tramontò</w:t>
      </w:r>
    </w:p>
    <w:p w:rsidR="0039675D" w:rsidRPr="00E84453" w:rsidRDefault="0039675D" w:rsidP="0039675D">
      <w:pPr>
        <w:framePr w:hSpace="141" w:wrap="around" w:vAnchor="text" w:hAnchor="text" w:y="-340"/>
        <w:spacing w:after="0" w:line="240" w:lineRule="auto"/>
        <w:jc w:val="both"/>
        <w:rPr>
          <w:rFonts w:ascii="Times New Roman" w:eastAsia="Times New Roman" w:hAnsi="Times New Roman"/>
          <w:i/>
          <w:iCs/>
          <w:sz w:val="24"/>
          <w:szCs w:val="24"/>
          <w:lang w:eastAsia="it-IT"/>
        </w:rPr>
      </w:pPr>
      <w:r w:rsidRPr="00E84453">
        <w:rPr>
          <w:rFonts w:ascii="Arial" w:eastAsia="Times New Roman" w:hAnsi="Arial" w:cs="Arial"/>
          <w:i/>
          <w:iCs/>
          <w:sz w:val="24"/>
          <w:szCs w:val="24"/>
          <w:lang w:eastAsia="it-IT"/>
        </w:rPr>
        <w:t>il cielo si tinse all’improvviso di rosso sangue</w:t>
      </w:r>
    </w:p>
    <w:p w:rsidR="0039675D" w:rsidRPr="00E84453" w:rsidRDefault="0039675D" w:rsidP="0039675D">
      <w:pPr>
        <w:framePr w:hSpace="141" w:wrap="around" w:vAnchor="text" w:hAnchor="text" w:y="-340"/>
        <w:spacing w:after="0" w:line="240" w:lineRule="auto"/>
        <w:jc w:val="both"/>
        <w:rPr>
          <w:rFonts w:ascii="Times New Roman" w:eastAsia="Times New Roman" w:hAnsi="Times New Roman"/>
          <w:i/>
          <w:iCs/>
          <w:sz w:val="24"/>
          <w:szCs w:val="24"/>
          <w:lang w:eastAsia="it-IT"/>
        </w:rPr>
      </w:pPr>
      <w:r w:rsidRPr="00E84453">
        <w:rPr>
          <w:rFonts w:ascii="Arial" w:eastAsia="Times New Roman" w:hAnsi="Arial" w:cs="Arial"/>
          <w:i/>
          <w:iCs/>
          <w:sz w:val="24"/>
          <w:szCs w:val="24"/>
          <w:lang w:eastAsia="it-IT"/>
        </w:rPr>
        <w:t>mi fermai, mi appoggiai stanco morto a un recinto</w:t>
      </w:r>
    </w:p>
    <w:p w:rsidR="0039675D" w:rsidRPr="00E84453" w:rsidRDefault="0039675D" w:rsidP="0039675D">
      <w:pPr>
        <w:framePr w:hSpace="141" w:wrap="around" w:vAnchor="text" w:hAnchor="text" w:y="-340"/>
        <w:spacing w:after="0" w:line="240" w:lineRule="auto"/>
        <w:jc w:val="both"/>
        <w:rPr>
          <w:rFonts w:ascii="Times New Roman" w:eastAsia="Times New Roman" w:hAnsi="Times New Roman"/>
          <w:i/>
          <w:iCs/>
          <w:sz w:val="24"/>
          <w:szCs w:val="24"/>
          <w:lang w:eastAsia="it-IT"/>
        </w:rPr>
      </w:pPr>
      <w:r w:rsidRPr="00E84453">
        <w:rPr>
          <w:rFonts w:ascii="Arial" w:eastAsia="Times New Roman" w:hAnsi="Arial" w:cs="Arial"/>
          <w:i/>
          <w:iCs/>
          <w:sz w:val="24"/>
          <w:szCs w:val="24"/>
          <w:lang w:eastAsia="it-IT"/>
        </w:rPr>
        <w:t>sul fiordo nerazzurro e sulla città c’erano sangue e lingue di fuoco</w:t>
      </w:r>
    </w:p>
    <w:p w:rsidR="0039675D" w:rsidRPr="00E84453" w:rsidRDefault="0039675D" w:rsidP="0039675D">
      <w:pPr>
        <w:framePr w:hSpace="141" w:wrap="around" w:vAnchor="text" w:hAnchor="text" w:y="-340"/>
        <w:spacing w:after="0" w:line="240" w:lineRule="auto"/>
        <w:jc w:val="both"/>
        <w:rPr>
          <w:rFonts w:ascii="Times New Roman" w:eastAsia="Times New Roman" w:hAnsi="Times New Roman"/>
          <w:i/>
          <w:iCs/>
          <w:sz w:val="24"/>
          <w:szCs w:val="24"/>
          <w:lang w:eastAsia="it-IT"/>
        </w:rPr>
      </w:pPr>
      <w:r w:rsidRPr="00E84453">
        <w:rPr>
          <w:rFonts w:ascii="Arial" w:eastAsia="Times New Roman" w:hAnsi="Arial" w:cs="Arial"/>
          <w:i/>
          <w:iCs/>
          <w:sz w:val="24"/>
          <w:szCs w:val="24"/>
          <w:lang w:eastAsia="it-IT"/>
        </w:rPr>
        <w:t>i miei amici continuavano a camminare e io tremavo ancora di paura</w:t>
      </w:r>
    </w:p>
    <w:p w:rsidR="0039675D" w:rsidRPr="00E84453" w:rsidRDefault="0039675D" w:rsidP="0039675D">
      <w:pPr>
        <w:framePr w:hSpace="141" w:wrap="around" w:vAnchor="text" w:hAnchor="text" w:y="-340"/>
        <w:spacing w:after="100" w:line="240" w:lineRule="auto"/>
        <w:jc w:val="both"/>
        <w:rPr>
          <w:rFonts w:ascii="Times New Roman" w:eastAsia="Times New Roman" w:hAnsi="Times New Roman"/>
          <w:sz w:val="24"/>
          <w:szCs w:val="24"/>
          <w:lang w:eastAsia="it-IT"/>
        </w:rPr>
      </w:pPr>
      <w:r w:rsidRPr="00E84453">
        <w:rPr>
          <w:rFonts w:ascii="Arial" w:eastAsia="Times New Roman" w:hAnsi="Arial" w:cs="Arial"/>
          <w:i/>
          <w:iCs/>
          <w:sz w:val="24"/>
          <w:szCs w:val="24"/>
          <w:lang w:eastAsia="it-IT"/>
        </w:rPr>
        <w:t>e sentivo che un grande urlo infinito pervadeva la natura</w:t>
      </w:r>
      <w:r w:rsidRPr="00E84453">
        <w:rPr>
          <w:rFonts w:ascii="Arial" w:eastAsia="Times New Roman" w:hAnsi="Arial" w:cs="Arial"/>
          <w:sz w:val="24"/>
          <w:szCs w:val="24"/>
          <w:lang w:eastAsia="it-IT"/>
        </w:rPr>
        <w:t>.</w:t>
      </w:r>
    </w:p>
    <w:p w:rsidR="0039675D" w:rsidRPr="00E84453" w:rsidRDefault="0039675D" w:rsidP="0039675D">
      <w:pPr>
        <w:framePr w:hSpace="141" w:wrap="around" w:vAnchor="text" w:hAnchor="text" w:y="-340"/>
        <w:spacing w:before="100" w:beforeAutospacing="1" w:after="100" w:afterAutospacing="1" w:line="240" w:lineRule="auto"/>
        <w:jc w:val="both"/>
        <w:rPr>
          <w:rFonts w:ascii="Times New Roman" w:eastAsia="Times New Roman" w:hAnsi="Times New Roman"/>
          <w:sz w:val="24"/>
          <w:szCs w:val="24"/>
          <w:lang w:eastAsia="it-IT"/>
        </w:rPr>
      </w:pPr>
      <w:r w:rsidRPr="00E84453">
        <w:rPr>
          <w:rFonts w:ascii="Arial" w:eastAsia="Times New Roman" w:hAnsi="Arial" w:cs="Arial"/>
          <w:sz w:val="24"/>
          <w:szCs w:val="24"/>
          <w:lang w:eastAsia="it-IT"/>
        </w:rPr>
        <w:t>Lo spunto è quindi decisamente autobiografico. L’uomo in primo piano che urla è l’artista stesso. Tuttavia, al di là della sua relativa occasionalità, il quadro ha una indubbia capacità di trasmettere sensazioni universali. E ciò soprattutto per il suo crudo stile pittorico.</w:t>
      </w:r>
    </w:p>
    <w:p w:rsidR="0039675D" w:rsidRPr="00E84453" w:rsidRDefault="0039675D" w:rsidP="0039675D">
      <w:pPr>
        <w:framePr w:hSpace="141" w:wrap="around" w:vAnchor="text" w:hAnchor="text" w:y="-340"/>
        <w:spacing w:before="100" w:beforeAutospacing="1" w:after="100" w:afterAutospacing="1" w:line="240" w:lineRule="auto"/>
        <w:jc w:val="both"/>
        <w:rPr>
          <w:rFonts w:ascii="Times New Roman" w:eastAsia="Times New Roman" w:hAnsi="Times New Roman"/>
          <w:sz w:val="24"/>
          <w:szCs w:val="24"/>
          <w:lang w:eastAsia="it-IT"/>
        </w:rPr>
      </w:pPr>
      <w:r w:rsidRPr="00E84453">
        <w:rPr>
          <w:rFonts w:ascii="Arial" w:eastAsia="Times New Roman" w:hAnsi="Arial" w:cs="Arial"/>
          <w:sz w:val="24"/>
          <w:szCs w:val="24"/>
          <w:lang w:eastAsia="it-IT"/>
        </w:rPr>
        <w:t>Il quadro presenta, in primo piano, l’uomo che urla. Lo taglia in diagonale il parapetto del ponte visto in fuga verso sinistra. Sulla destra vi è invece un innaturale paesaggio, desolato e poco accogliente. In alto il cielo è striato di un rosso molto drammatico.</w:t>
      </w:r>
    </w:p>
    <w:p w:rsidR="0039675D" w:rsidRPr="00E84453" w:rsidRDefault="0039675D" w:rsidP="0039675D">
      <w:pPr>
        <w:framePr w:hSpace="141" w:wrap="around" w:vAnchor="text" w:hAnchor="text" w:y="-340"/>
        <w:spacing w:before="100" w:beforeAutospacing="1" w:after="100" w:afterAutospacing="1" w:line="240" w:lineRule="auto"/>
        <w:jc w:val="both"/>
        <w:rPr>
          <w:rFonts w:ascii="Times New Roman" w:eastAsia="Times New Roman" w:hAnsi="Times New Roman"/>
          <w:sz w:val="24"/>
          <w:szCs w:val="24"/>
          <w:lang w:eastAsia="it-IT"/>
        </w:rPr>
      </w:pPr>
      <w:r w:rsidRPr="00E84453">
        <w:rPr>
          <w:rFonts w:ascii="Arial" w:eastAsia="Times New Roman" w:hAnsi="Arial" w:cs="Arial"/>
          <w:sz w:val="24"/>
          <w:szCs w:val="24"/>
          <w:lang w:eastAsia="it-IT"/>
        </w:rPr>
        <w:t>L’uomo è rappresentato in maniera molto visionaria. Ha un aspetto sinuoso e molle. Più che ad un corpo, fa pensare ad uno spirito. La testa è completamente calva come un teschio ricoperto da una pelle mummificata. Gli occhi hanno uno sguardo allucinato e terrorizzato. Il naso è quasi assente, mentre la bocca si apre in uno spasmo innaturale. L’ovale della bocca è il vero centro compositivo del quadro. Da esso le onde sonore del grido mettono in movimento tutto il quadro: agitano sia il corpo dell’uomo sia le onde che definiscono il paesaggio e il cielo.</w:t>
      </w:r>
    </w:p>
    <w:p w:rsidR="0039675D" w:rsidRPr="00E84453" w:rsidRDefault="0039675D" w:rsidP="0039675D">
      <w:pPr>
        <w:framePr w:hSpace="141" w:wrap="around" w:vAnchor="text" w:hAnchor="text" w:y="-340"/>
        <w:spacing w:before="100" w:beforeAutospacing="1" w:after="100" w:afterAutospacing="1" w:line="240" w:lineRule="auto"/>
        <w:jc w:val="both"/>
        <w:rPr>
          <w:rFonts w:ascii="Times New Roman" w:eastAsia="Times New Roman" w:hAnsi="Times New Roman"/>
          <w:sz w:val="24"/>
          <w:szCs w:val="24"/>
          <w:lang w:eastAsia="it-IT"/>
        </w:rPr>
      </w:pPr>
      <w:r w:rsidRPr="00E84453">
        <w:rPr>
          <w:rFonts w:ascii="Arial" w:eastAsia="Times New Roman" w:hAnsi="Arial" w:cs="Arial"/>
          <w:sz w:val="24"/>
          <w:szCs w:val="24"/>
          <w:lang w:eastAsia="it-IT"/>
        </w:rPr>
        <w:t>Restano diritti solo il ponte e le sagome dei due uomini sullo sfondo. Sono sordi ed impassibili all’urlo che proviene dall’anima dell’uomo. Sono gli amici del pittore, incuranti della sua angoscia, a testimonianza della falsità dei rapporti umani.</w:t>
      </w:r>
    </w:p>
    <w:p w:rsidR="00A8207A" w:rsidRDefault="0039675D" w:rsidP="0039675D">
      <w:pPr>
        <w:jc w:val="both"/>
        <w:rPr>
          <w:rFonts w:ascii="Arial" w:eastAsia="Times New Roman" w:hAnsi="Arial" w:cs="Arial"/>
          <w:sz w:val="24"/>
          <w:szCs w:val="24"/>
          <w:lang w:eastAsia="it-IT"/>
        </w:rPr>
      </w:pPr>
      <w:r w:rsidRPr="00E84453">
        <w:rPr>
          <w:rFonts w:ascii="Arial" w:eastAsia="Times New Roman" w:hAnsi="Arial" w:cs="Arial"/>
          <w:sz w:val="24"/>
          <w:szCs w:val="24"/>
          <w:lang w:eastAsia="it-IT"/>
        </w:rPr>
        <w:t>L’urlo di questo quadro è una intesa esplosione di energia psichica. È tutta l’angoscia che si racchiude in uno spirito tormentato che vuole esplodere in un grido liberatorio. Ma nel quadro non c’è alcun elemento che induca a credere alla liberazione consolatoria. L’urlo rimane solo un grido sordo che non può essere avvertito dagli altri ma rappresenta tutto il dolore che vorrebbe uscire da noi, senza mai riuscirci. E così l’urlo diviene solo un modo per guardare dentro di sé, ritrovandovi angoscia e disperazione</w:t>
      </w:r>
    </w:p>
    <w:p w:rsidR="0039675D" w:rsidRDefault="0039675D" w:rsidP="0039675D">
      <w:pPr>
        <w:jc w:val="both"/>
      </w:pPr>
    </w:p>
    <w:sectPr w:rsidR="0039675D">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75D"/>
    <w:rsid w:val="0039675D"/>
    <w:rsid w:val="006C464D"/>
    <w:rsid w:val="0094483D"/>
    <w:rsid w:val="00B54B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9675D"/>
    <w:rPr>
      <w:rFonts w:ascii="Calibri" w:eastAsia="Calibri" w:hAnsi="Calibri" w:cs="Times New Roman"/>
    </w:rPr>
  </w:style>
  <w:style w:type="paragraph" w:styleId="Titolo2">
    <w:name w:val="heading 2"/>
    <w:basedOn w:val="Normale"/>
    <w:link w:val="Titolo2Carattere"/>
    <w:uiPriority w:val="9"/>
    <w:qFormat/>
    <w:rsid w:val="0039675D"/>
    <w:pPr>
      <w:spacing w:before="100" w:beforeAutospacing="1" w:after="100" w:afterAutospacing="1" w:line="240" w:lineRule="auto"/>
      <w:outlineLvl w:val="1"/>
    </w:pPr>
    <w:rPr>
      <w:rFonts w:ascii="Times New Roman" w:eastAsia="Times New Roman" w:hAnsi="Times New Roman"/>
      <w:b/>
      <w:bCs/>
      <w:sz w:val="36"/>
      <w:szCs w:val="36"/>
      <w:lang w:eastAsia="it-IT"/>
    </w:rPr>
  </w:style>
  <w:style w:type="paragraph" w:styleId="Titolo3">
    <w:name w:val="heading 3"/>
    <w:basedOn w:val="Normale"/>
    <w:link w:val="Titolo3Carattere"/>
    <w:uiPriority w:val="9"/>
    <w:qFormat/>
    <w:rsid w:val="0039675D"/>
    <w:pPr>
      <w:spacing w:before="100" w:beforeAutospacing="1" w:after="100" w:afterAutospacing="1" w:line="240" w:lineRule="auto"/>
      <w:outlineLvl w:val="2"/>
    </w:pPr>
    <w:rPr>
      <w:rFonts w:ascii="Times New Roman" w:eastAsia="Times New Roman" w:hAnsi="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39675D"/>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39675D"/>
    <w:rPr>
      <w:rFonts w:ascii="Times New Roman" w:eastAsia="Times New Roman" w:hAnsi="Times New Roman" w:cs="Times New Roman"/>
      <w:b/>
      <w:bCs/>
      <w:sz w:val="27"/>
      <w:szCs w:val="27"/>
      <w:lang w:eastAsia="it-IT"/>
    </w:rPr>
  </w:style>
  <w:style w:type="character" w:customStyle="1" w:styleId="apple-converted-space">
    <w:name w:val="apple-converted-space"/>
    <w:basedOn w:val="Carpredefinitoparagrafo"/>
    <w:rsid w:val="0039675D"/>
  </w:style>
  <w:style w:type="paragraph" w:styleId="NormaleWeb">
    <w:name w:val="Normal (Web)"/>
    <w:basedOn w:val="Normale"/>
    <w:uiPriority w:val="99"/>
    <w:unhideWhenUsed/>
    <w:rsid w:val="0039675D"/>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ipertestuale">
    <w:name w:val="Hyperlink"/>
    <w:uiPriority w:val="99"/>
    <w:unhideWhenUsed/>
    <w:rsid w:val="0039675D"/>
    <w:rPr>
      <w:color w:val="0000FF"/>
      <w:u w:val="single"/>
    </w:rPr>
  </w:style>
  <w:style w:type="character" w:customStyle="1" w:styleId="mw-headline">
    <w:name w:val="mw-headline"/>
    <w:basedOn w:val="Carpredefinitoparagrafo"/>
    <w:rsid w:val="0039675D"/>
  </w:style>
  <w:style w:type="paragraph" w:styleId="Testofumetto">
    <w:name w:val="Balloon Text"/>
    <w:basedOn w:val="Normale"/>
    <w:link w:val="TestofumettoCarattere"/>
    <w:uiPriority w:val="99"/>
    <w:semiHidden/>
    <w:unhideWhenUsed/>
    <w:rsid w:val="0039675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675D"/>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9675D"/>
    <w:rPr>
      <w:rFonts w:ascii="Calibri" w:eastAsia="Calibri" w:hAnsi="Calibri" w:cs="Times New Roman"/>
    </w:rPr>
  </w:style>
  <w:style w:type="paragraph" w:styleId="Titolo2">
    <w:name w:val="heading 2"/>
    <w:basedOn w:val="Normale"/>
    <w:link w:val="Titolo2Carattere"/>
    <w:uiPriority w:val="9"/>
    <w:qFormat/>
    <w:rsid w:val="0039675D"/>
    <w:pPr>
      <w:spacing w:before="100" w:beforeAutospacing="1" w:after="100" w:afterAutospacing="1" w:line="240" w:lineRule="auto"/>
      <w:outlineLvl w:val="1"/>
    </w:pPr>
    <w:rPr>
      <w:rFonts w:ascii="Times New Roman" w:eastAsia="Times New Roman" w:hAnsi="Times New Roman"/>
      <w:b/>
      <w:bCs/>
      <w:sz w:val="36"/>
      <w:szCs w:val="36"/>
      <w:lang w:eastAsia="it-IT"/>
    </w:rPr>
  </w:style>
  <w:style w:type="paragraph" w:styleId="Titolo3">
    <w:name w:val="heading 3"/>
    <w:basedOn w:val="Normale"/>
    <w:link w:val="Titolo3Carattere"/>
    <w:uiPriority w:val="9"/>
    <w:qFormat/>
    <w:rsid w:val="0039675D"/>
    <w:pPr>
      <w:spacing w:before="100" w:beforeAutospacing="1" w:after="100" w:afterAutospacing="1" w:line="240" w:lineRule="auto"/>
      <w:outlineLvl w:val="2"/>
    </w:pPr>
    <w:rPr>
      <w:rFonts w:ascii="Times New Roman" w:eastAsia="Times New Roman" w:hAnsi="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39675D"/>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39675D"/>
    <w:rPr>
      <w:rFonts w:ascii="Times New Roman" w:eastAsia="Times New Roman" w:hAnsi="Times New Roman" w:cs="Times New Roman"/>
      <w:b/>
      <w:bCs/>
      <w:sz w:val="27"/>
      <w:szCs w:val="27"/>
      <w:lang w:eastAsia="it-IT"/>
    </w:rPr>
  </w:style>
  <w:style w:type="character" w:customStyle="1" w:styleId="apple-converted-space">
    <w:name w:val="apple-converted-space"/>
    <w:basedOn w:val="Carpredefinitoparagrafo"/>
    <w:rsid w:val="0039675D"/>
  </w:style>
  <w:style w:type="paragraph" w:styleId="NormaleWeb">
    <w:name w:val="Normal (Web)"/>
    <w:basedOn w:val="Normale"/>
    <w:uiPriority w:val="99"/>
    <w:unhideWhenUsed/>
    <w:rsid w:val="0039675D"/>
    <w:pPr>
      <w:spacing w:before="100" w:beforeAutospacing="1" w:after="100" w:afterAutospacing="1" w:line="240" w:lineRule="auto"/>
    </w:pPr>
    <w:rPr>
      <w:rFonts w:ascii="Times New Roman" w:eastAsia="Times New Roman" w:hAnsi="Times New Roman"/>
      <w:sz w:val="24"/>
      <w:szCs w:val="24"/>
      <w:lang w:eastAsia="it-IT"/>
    </w:rPr>
  </w:style>
  <w:style w:type="character" w:styleId="Collegamentoipertestuale">
    <w:name w:val="Hyperlink"/>
    <w:uiPriority w:val="99"/>
    <w:unhideWhenUsed/>
    <w:rsid w:val="0039675D"/>
    <w:rPr>
      <w:color w:val="0000FF"/>
      <w:u w:val="single"/>
    </w:rPr>
  </w:style>
  <w:style w:type="character" w:customStyle="1" w:styleId="mw-headline">
    <w:name w:val="mw-headline"/>
    <w:basedOn w:val="Carpredefinitoparagrafo"/>
    <w:rsid w:val="0039675D"/>
  </w:style>
  <w:style w:type="paragraph" w:styleId="Testofumetto">
    <w:name w:val="Balloon Text"/>
    <w:basedOn w:val="Normale"/>
    <w:link w:val="TestofumettoCarattere"/>
    <w:uiPriority w:val="99"/>
    <w:semiHidden/>
    <w:unhideWhenUsed/>
    <w:rsid w:val="0039675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675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wikipedia.org/wiki/Palazzo_del_Giardino" TargetMode="External"/><Relationship Id="rId13" Type="http://schemas.openxmlformats.org/officeDocument/2006/relationships/hyperlink" Target="https://it.wikipedia.org/wiki/Guarigione_della_figlia_della_Cananea" TargetMode="External"/><Relationship Id="rId18" Type="http://schemas.openxmlformats.org/officeDocument/2006/relationships/hyperlink" Target="https://it.wikipedia.org/wiki/Cristo_e_la_Cananea" TargetMode="External"/><Relationship Id="rId26" Type="http://schemas.openxmlformats.org/officeDocument/2006/relationships/hyperlink" Target="https://it.wikipedia.org/wiki/Cristo_e_la_Cananea" TargetMode="External"/><Relationship Id="rId3" Type="http://schemas.openxmlformats.org/officeDocument/2006/relationships/settings" Target="settings.xml"/><Relationship Id="rId21" Type="http://schemas.openxmlformats.org/officeDocument/2006/relationships/hyperlink" Target="https://it.wikipedia.org/wiki/Cristo_e_la_Cananea" TargetMode="External"/><Relationship Id="rId7" Type="http://schemas.openxmlformats.org/officeDocument/2006/relationships/hyperlink" Target="https://it.wikipedia.org/wiki/Collezione_Farnese" TargetMode="External"/><Relationship Id="rId12" Type="http://schemas.openxmlformats.org/officeDocument/2006/relationships/hyperlink" Target="https://it.wikipedia.org/wiki/Cristo_e_la_Cananea" TargetMode="External"/><Relationship Id="rId17" Type="http://schemas.openxmlformats.org/officeDocument/2006/relationships/hyperlink" Target="https://it.wikipedia.org/wiki/Agostino_Carracci" TargetMode="External"/><Relationship Id="rId25" Type="http://schemas.openxmlformats.org/officeDocument/2006/relationships/hyperlink" Target="https://it.wikipedia.org/wiki/Villa_Medici" TargetMode="External"/><Relationship Id="rId2" Type="http://schemas.microsoft.com/office/2007/relationships/stylesWithEffects" Target="stylesWithEffects.xml"/><Relationship Id="rId16" Type="http://schemas.openxmlformats.org/officeDocument/2006/relationships/hyperlink" Target="https://it.wikipedia.org/wiki/Ludovico_Carracci" TargetMode="External"/><Relationship Id="rId20" Type="http://schemas.openxmlformats.org/officeDocument/2006/relationships/hyperlink" Target="https://it.wikipedia.org/wiki/Correggio_(pittore)" TargetMode="External"/><Relationship Id="rId29" Type="http://schemas.openxmlformats.org/officeDocument/2006/relationships/image" Target="media/image1.jpeg"/><Relationship Id="rId1" Type="http://schemas.openxmlformats.org/officeDocument/2006/relationships/styles" Target="styles.xml"/><Relationship Id="rId6" Type="http://schemas.openxmlformats.org/officeDocument/2006/relationships/hyperlink" Target="https://it.wikipedia.org/wiki/Cristo_e_la_Cananea" TargetMode="External"/><Relationship Id="rId11" Type="http://schemas.openxmlformats.org/officeDocument/2006/relationships/hyperlink" Target="https://it.wikipedia.org/wiki/Cristo_e_la_Cananea" TargetMode="External"/><Relationship Id="rId24" Type="http://schemas.openxmlformats.org/officeDocument/2006/relationships/hyperlink" Target="https://it.wikipedia.org/wiki/Cristo_e_la_Cananea" TargetMode="External"/><Relationship Id="rId32" Type="http://schemas.openxmlformats.org/officeDocument/2006/relationships/theme" Target="theme/theme1.xml"/><Relationship Id="rId5" Type="http://schemas.openxmlformats.org/officeDocument/2006/relationships/hyperlink" Target="https://it.wikipedia.org/wiki/Odoardo_Farnese_(cardinale)" TargetMode="External"/><Relationship Id="rId15" Type="http://schemas.openxmlformats.org/officeDocument/2006/relationships/hyperlink" Target="https://it.wikipedia.org/wiki/Marco_evangelista" TargetMode="External"/><Relationship Id="rId23" Type="http://schemas.openxmlformats.org/officeDocument/2006/relationships/hyperlink" Target="https://it.wikipedia.org/wiki/Cristo_e_la_Cananea" TargetMode="External"/><Relationship Id="rId28" Type="http://schemas.openxmlformats.org/officeDocument/2006/relationships/hyperlink" Target="https://it.wikipedia.org/wiki/Pietro_del_P%C3%B2" TargetMode="External"/><Relationship Id="rId10" Type="http://schemas.openxmlformats.org/officeDocument/2006/relationships/hyperlink" Target="https://it.wikipedia.org/wiki/Cristo_e_la_Cananea" TargetMode="External"/><Relationship Id="rId19" Type="http://schemas.openxmlformats.org/officeDocument/2006/relationships/hyperlink" Target="https://it.wikipedia.org/wiki/Noli_me_tangere_(Correggio)"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t.wikipedia.org/wiki/Cristo_e_la_Cananea" TargetMode="External"/><Relationship Id="rId14" Type="http://schemas.openxmlformats.org/officeDocument/2006/relationships/hyperlink" Target="https://it.wikipedia.org/wiki/Matteo_apostolo_ed_evangelista" TargetMode="External"/><Relationship Id="rId22" Type="http://schemas.openxmlformats.org/officeDocument/2006/relationships/hyperlink" Target="https://it.wikipedia.org/wiki/Pietro_Aldobrandini" TargetMode="External"/><Relationship Id="rId27" Type="http://schemas.openxmlformats.org/officeDocument/2006/relationships/hyperlink" Target="https://it.wikipedia.org/wiki/Cristo_e_la_Cananea" TargetMode="External"/><Relationship Id="rId30"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1596</Words>
  <Characters>9103</Characters>
  <Application>Microsoft Office Word</Application>
  <DocSecurity>0</DocSecurity>
  <Lines>75</Lines>
  <Paragraphs>21</Paragraphs>
  <ScaleCrop>false</ScaleCrop>
  <Company>HP</Company>
  <LinksUpToDate>false</LinksUpToDate>
  <CharactersWithSpaces>10678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AC. Cavazzoni</dc:creator>
  <cp:lastModifiedBy>Andrea AC. Cavazzoni</cp:lastModifiedBy>
  <cp:revision>1</cp:revision>
  <dcterms:created xsi:type="dcterms:W3CDTF">2016-09-20T13:27:00Z</dcterms:created>
  <dcterms:modified xsi:type="dcterms:W3CDTF">2016-09-20T13:28:00Z</dcterms:modified>
</cp:coreProperties>
</file>