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BB4" w:rsidRPr="001D646C" w:rsidRDefault="00AE4BB4" w:rsidP="00AE4BB4">
      <w:pPr>
        <w:shd w:val="clear" w:color="auto" w:fill="FFFFFF"/>
        <w:spacing w:after="0" w:line="300" w:lineRule="atLeast"/>
        <w:jc w:val="both"/>
        <w:rPr>
          <w:rFonts w:ascii="Tahoma" w:eastAsia="Times New Roman" w:hAnsi="Tahoma" w:cs="Tahoma"/>
          <w:b/>
          <w:color w:val="333333"/>
          <w:sz w:val="24"/>
          <w:szCs w:val="24"/>
          <w:lang w:eastAsia="it-IT"/>
        </w:rPr>
      </w:pPr>
      <w:r w:rsidRPr="001D646C">
        <w:rPr>
          <w:rFonts w:ascii="Tahoma" w:eastAsia="Times New Roman" w:hAnsi="Tahoma" w:cs="Tahoma"/>
          <w:b/>
          <w:color w:val="333333"/>
          <w:sz w:val="24"/>
          <w:szCs w:val="24"/>
          <w:lang w:eastAsia="it-IT"/>
        </w:rPr>
        <w:t>Dal Catechismo degli adulti</w:t>
      </w:r>
    </w:p>
    <w:p w:rsidR="00AE4BB4" w:rsidRPr="001D646C" w:rsidRDefault="00AE4BB4" w:rsidP="00AE4BB4">
      <w:pPr>
        <w:shd w:val="clear" w:color="auto" w:fill="FFFFFF"/>
        <w:spacing w:after="0" w:line="300" w:lineRule="atLeast"/>
        <w:jc w:val="both"/>
        <w:rPr>
          <w:rFonts w:ascii="Tahoma" w:eastAsia="Times New Roman" w:hAnsi="Tahoma" w:cs="Tahoma"/>
          <w:b/>
          <w:color w:val="333333"/>
          <w:sz w:val="24"/>
          <w:szCs w:val="24"/>
          <w:lang w:eastAsia="it-IT"/>
        </w:rPr>
      </w:pPr>
    </w:p>
    <w:p w:rsidR="00AE4BB4" w:rsidRPr="001D646C" w:rsidRDefault="00AE4BB4" w:rsidP="00AE4BB4">
      <w:pPr>
        <w:shd w:val="clear" w:color="auto" w:fill="FFFFFF"/>
        <w:spacing w:after="0" w:line="252" w:lineRule="atLeast"/>
        <w:jc w:val="both"/>
        <w:rPr>
          <w:rFonts w:ascii="Arial" w:eastAsia="Times New Roman" w:hAnsi="Arial" w:cs="Arial"/>
          <w:color w:val="000000"/>
          <w:spacing w:val="15"/>
          <w:sz w:val="24"/>
          <w:szCs w:val="24"/>
          <w:lang w:eastAsia="it-IT"/>
        </w:rPr>
      </w:pPr>
      <w:r w:rsidRPr="001D646C">
        <w:rPr>
          <w:rFonts w:ascii="Arial" w:eastAsia="Times New Roman" w:hAnsi="Arial" w:cs="Arial"/>
          <w:b/>
          <w:bCs/>
          <w:color w:val="000000"/>
          <w:spacing w:val="15"/>
          <w:sz w:val="24"/>
          <w:szCs w:val="24"/>
          <w:lang w:eastAsia="it-IT"/>
        </w:rPr>
        <w:t>[135]</w:t>
      </w:r>
      <w:bookmarkStart w:id="0" w:name="135"/>
      <w:r w:rsidRPr="001D646C">
        <w:rPr>
          <w:rFonts w:ascii="Arial" w:eastAsia="Times New Roman" w:hAnsi="Arial" w:cs="Arial"/>
          <w:color w:val="000000"/>
          <w:spacing w:val="15"/>
          <w:sz w:val="24"/>
          <w:szCs w:val="24"/>
          <w:lang w:eastAsia="it-IT"/>
        </w:rPr>
        <w:t> </w:t>
      </w:r>
      <w:bookmarkEnd w:id="0"/>
      <w:r w:rsidRPr="001D646C">
        <w:rPr>
          <w:rFonts w:ascii="Arial" w:eastAsia="Times New Roman" w:hAnsi="Arial" w:cs="Arial"/>
          <w:color w:val="000000"/>
          <w:spacing w:val="15"/>
          <w:sz w:val="24"/>
          <w:szCs w:val="24"/>
          <w:lang w:eastAsia="it-IT"/>
        </w:rPr>
        <w:t>Beati i poveri, perché Dio li ama, si impegna a liberarli dalla sofferenza e fin d’ora conferisce loro la dignità di suoi figli, che nessuna circostanza esteriore può compromettere.</w:t>
      </w:r>
    </w:p>
    <w:p w:rsidR="00AE4BB4" w:rsidRPr="001D646C" w:rsidRDefault="00AE4BB4" w:rsidP="00AE4BB4">
      <w:pPr>
        <w:shd w:val="clear" w:color="auto" w:fill="FFFFFF"/>
        <w:spacing w:after="0" w:line="252" w:lineRule="atLeast"/>
        <w:jc w:val="both"/>
        <w:rPr>
          <w:rFonts w:ascii="Arial" w:eastAsia="Times New Roman" w:hAnsi="Arial" w:cs="Arial"/>
          <w:color w:val="000000"/>
          <w:spacing w:val="15"/>
          <w:sz w:val="24"/>
          <w:szCs w:val="24"/>
          <w:lang w:eastAsia="it-IT"/>
        </w:rPr>
      </w:pPr>
      <w:r w:rsidRPr="001D646C">
        <w:rPr>
          <w:rFonts w:ascii="Arial" w:eastAsia="Times New Roman" w:hAnsi="Arial" w:cs="Arial"/>
          <w:color w:val="000000"/>
          <w:spacing w:val="15"/>
          <w:sz w:val="24"/>
          <w:szCs w:val="24"/>
          <w:lang w:eastAsia="it-IT"/>
        </w:rPr>
        <w:t>Chi vive consapevolmente la comunione filiale con Dio, fa esperienza di gioia anche in mezzo alle tribolazioni, come Gesù. È necessario però condividere l’atteggiamento del Maestro «mite e umile di cuore» ( </w:t>
      </w:r>
      <w:hyperlink r:id="rId5" w:tgtFrame="_self" w:history="1">
        <w:r w:rsidRPr="001D646C">
          <w:rPr>
            <w:rFonts w:ascii="Arial" w:eastAsia="Times New Roman" w:hAnsi="Arial" w:cs="Arial"/>
            <w:b/>
            <w:bCs/>
            <w:color w:val="000000"/>
            <w:spacing w:val="15"/>
            <w:sz w:val="24"/>
            <w:szCs w:val="24"/>
            <w:u w:val="single"/>
            <w:lang w:eastAsia="it-IT"/>
          </w:rPr>
          <w:t>Mt 11,29</w:t>
        </w:r>
      </w:hyperlink>
      <w:r w:rsidRPr="001D646C">
        <w:rPr>
          <w:rFonts w:ascii="Arial" w:eastAsia="Times New Roman" w:hAnsi="Arial" w:cs="Arial"/>
          <w:color w:val="000000"/>
          <w:spacing w:val="15"/>
          <w:sz w:val="24"/>
          <w:szCs w:val="24"/>
          <w:lang w:eastAsia="it-IT"/>
        </w:rPr>
        <w:t> ) e vivere secondo lo spirito delle beatitudini.</w:t>
      </w:r>
    </w:p>
    <w:p w:rsidR="00AE4BB4" w:rsidRPr="001D646C" w:rsidRDefault="00AE4BB4" w:rsidP="00AE4BB4">
      <w:pPr>
        <w:shd w:val="clear" w:color="auto" w:fill="FFFFFF"/>
        <w:spacing w:after="0" w:line="300" w:lineRule="atLeast"/>
        <w:jc w:val="both"/>
        <w:rPr>
          <w:rFonts w:ascii="Tahoma" w:eastAsia="Times New Roman" w:hAnsi="Tahoma" w:cs="Tahoma"/>
          <w:color w:val="333333"/>
          <w:sz w:val="24"/>
          <w:szCs w:val="24"/>
          <w:lang w:eastAsia="it-IT"/>
        </w:rPr>
      </w:pPr>
    </w:p>
    <w:p w:rsidR="00AE4BB4" w:rsidRPr="001D646C" w:rsidRDefault="00AE4BB4" w:rsidP="00AE4B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it-IT"/>
        </w:rPr>
      </w:pPr>
      <w:r w:rsidRPr="001D646C">
        <w:rPr>
          <w:rFonts w:ascii="Arial" w:eastAsia="Times New Roman" w:hAnsi="Arial" w:cs="Arial"/>
          <w:b/>
          <w:bCs/>
          <w:color w:val="000000"/>
          <w:spacing w:val="15"/>
          <w:sz w:val="24"/>
          <w:szCs w:val="24"/>
          <w:lang w:eastAsia="it-IT"/>
        </w:rPr>
        <w:t>[857]</w:t>
      </w:r>
      <w:bookmarkStart w:id="1" w:name="857"/>
      <w:r w:rsidRPr="001D646C">
        <w:rPr>
          <w:rFonts w:ascii="Arial" w:eastAsia="Times New Roman" w:hAnsi="Arial" w:cs="Arial"/>
          <w:color w:val="000000"/>
          <w:spacing w:val="15"/>
          <w:sz w:val="24"/>
          <w:szCs w:val="24"/>
          <w:shd w:val="clear" w:color="auto" w:fill="FFFFFF"/>
          <w:lang w:eastAsia="it-IT"/>
        </w:rPr>
        <w:t> </w:t>
      </w:r>
      <w:bookmarkEnd w:id="1"/>
      <w:r w:rsidRPr="001D646C">
        <w:rPr>
          <w:rFonts w:ascii="Arial" w:eastAsia="Times New Roman" w:hAnsi="Arial" w:cs="Arial"/>
          <w:color w:val="000000"/>
          <w:spacing w:val="15"/>
          <w:sz w:val="24"/>
          <w:szCs w:val="24"/>
          <w:lang w:eastAsia="it-IT"/>
        </w:rPr>
        <w:t> </w:t>
      </w:r>
      <w:r w:rsidRPr="001D646C">
        <w:rPr>
          <w:rFonts w:ascii="Arial" w:eastAsia="Times New Roman" w:hAnsi="Arial" w:cs="Arial"/>
          <w:color w:val="000000"/>
          <w:spacing w:val="15"/>
          <w:sz w:val="24"/>
          <w:szCs w:val="24"/>
          <w:shd w:val="clear" w:color="auto" w:fill="FFFFFF"/>
          <w:lang w:eastAsia="it-IT"/>
        </w:rPr>
        <w:t>«Beati i poveri in spirito» (</w:t>
      </w:r>
      <w:hyperlink r:id="rId6" w:tgtFrame="_self" w:history="1">
        <w:r w:rsidRPr="001D646C">
          <w:rPr>
            <w:rFonts w:ascii="Arial" w:eastAsia="Times New Roman" w:hAnsi="Arial" w:cs="Arial"/>
            <w:b/>
            <w:bCs/>
            <w:color w:val="000000"/>
            <w:spacing w:val="15"/>
            <w:sz w:val="24"/>
            <w:szCs w:val="24"/>
            <w:u w:val="single"/>
            <w:lang w:eastAsia="it-IT"/>
          </w:rPr>
          <w:t>Mt 5,3</w:t>
        </w:r>
      </w:hyperlink>
      <w:r w:rsidRPr="001D646C">
        <w:rPr>
          <w:rFonts w:ascii="Arial" w:eastAsia="Times New Roman" w:hAnsi="Arial" w:cs="Arial"/>
          <w:color w:val="000000"/>
          <w:spacing w:val="15"/>
          <w:sz w:val="24"/>
          <w:szCs w:val="24"/>
          <w:shd w:val="clear" w:color="auto" w:fill="FFFFFF"/>
          <w:lang w:eastAsia="it-IT"/>
        </w:rPr>
        <w:t>), cioè gli umili di cuore. I Padri della Chiesa di solito interpretano la povertà in spirito come umiltà: «Aggiunse “in spirito”, perché si intendesse l’umiltà, non la penuria»</w:t>
      </w:r>
    </w:p>
    <w:p w:rsidR="00AE4BB4" w:rsidRPr="001D646C" w:rsidRDefault="00AE4BB4" w:rsidP="00AE4BB4">
      <w:pPr>
        <w:shd w:val="clear" w:color="auto" w:fill="FFFFFF"/>
        <w:spacing w:after="0" w:line="252" w:lineRule="atLeast"/>
        <w:jc w:val="both"/>
        <w:rPr>
          <w:rFonts w:ascii="Arial" w:eastAsia="Times New Roman" w:hAnsi="Arial" w:cs="Arial"/>
          <w:color w:val="000000"/>
          <w:spacing w:val="15"/>
          <w:sz w:val="24"/>
          <w:szCs w:val="24"/>
          <w:lang w:eastAsia="it-IT"/>
        </w:rPr>
      </w:pPr>
    </w:p>
    <w:p w:rsidR="00AE4BB4" w:rsidRPr="001D646C" w:rsidRDefault="00AE4BB4" w:rsidP="00AE4B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it-IT"/>
        </w:rPr>
      </w:pPr>
      <w:r w:rsidRPr="001D646C">
        <w:rPr>
          <w:rFonts w:ascii="Arial" w:eastAsia="Times New Roman" w:hAnsi="Arial" w:cs="Arial"/>
          <w:color w:val="000000"/>
          <w:spacing w:val="15"/>
          <w:sz w:val="24"/>
          <w:szCs w:val="24"/>
          <w:shd w:val="clear" w:color="auto" w:fill="FFFFFF"/>
          <w:lang w:eastAsia="it-IT"/>
        </w:rPr>
        <w:t>. Abbastanza spesso però vi includono anche il distacco interiore dalla ricchezza e la povertà volontaria: «Non si tratta di poveri in rapporto alla ricchezza, ma di coloro che hanno scelto la povertà interiormente»</w:t>
      </w:r>
      <w:r>
        <w:rPr>
          <w:rFonts w:ascii="Arial" w:eastAsia="Times New Roman" w:hAnsi="Arial" w:cs="Arial"/>
          <w:color w:val="000000"/>
          <w:spacing w:val="15"/>
          <w:sz w:val="24"/>
          <w:szCs w:val="24"/>
          <w:shd w:val="clear" w:color="auto" w:fill="FFFFFF"/>
          <w:lang w:eastAsia="it-IT"/>
        </w:rPr>
        <w:t>.</w:t>
      </w:r>
    </w:p>
    <w:p w:rsidR="00AE4BB4" w:rsidRDefault="00AE4BB4" w:rsidP="00AE4BB4">
      <w:pPr>
        <w:jc w:val="both"/>
        <w:rPr>
          <w:rFonts w:ascii="Arial" w:eastAsia="Times New Roman" w:hAnsi="Arial" w:cs="Arial"/>
          <w:color w:val="000000"/>
          <w:spacing w:val="15"/>
          <w:sz w:val="24"/>
          <w:szCs w:val="24"/>
          <w:lang w:eastAsia="it-IT"/>
        </w:rPr>
      </w:pPr>
    </w:p>
    <w:p w:rsidR="00AE4BB4" w:rsidRDefault="00AE4BB4" w:rsidP="00AE4BB4">
      <w:pPr>
        <w:jc w:val="both"/>
        <w:rPr>
          <w:rFonts w:ascii="Arial" w:eastAsia="Times New Roman" w:hAnsi="Arial" w:cs="Arial"/>
          <w:color w:val="000000"/>
          <w:spacing w:val="15"/>
          <w:sz w:val="24"/>
          <w:szCs w:val="24"/>
          <w:shd w:val="clear" w:color="auto" w:fill="FFFFFF"/>
          <w:lang w:eastAsia="it-IT"/>
        </w:rPr>
      </w:pPr>
      <w:r w:rsidRPr="001D646C">
        <w:rPr>
          <w:rFonts w:ascii="Arial" w:eastAsia="Times New Roman" w:hAnsi="Arial" w:cs="Arial"/>
          <w:color w:val="000000"/>
          <w:spacing w:val="15"/>
          <w:sz w:val="24"/>
          <w:szCs w:val="24"/>
          <w:shd w:val="clear" w:color="auto" w:fill="FFFFFF"/>
          <w:lang w:eastAsia="it-IT"/>
        </w:rPr>
        <w:t xml:space="preserve"> Si tratta sostanzialmente di un atteggiamento di abbandono fiducioso in Dio, che implica libertà da se stessi e dalle cose, solidarietà con i poveri.</w:t>
      </w:r>
    </w:p>
    <w:p w:rsidR="00A8207A" w:rsidRDefault="00AE4BB4">
      <w:bookmarkStart w:id="2" w:name="_GoBack"/>
      <w:bookmarkEnd w:id="2"/>
    </w:p>
    <w:sectPr w:rsidR="00A8207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BB4"/>
    <w:rsid w:val="006C464D"/>
    <w:rsid w:val="0094483D"/>
    <w:rsid w:val="00AE4BB4"/>
    <w:rsid w:val="00B54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E4BB4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E4BB4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educat.it/popUpBibbiaCEI/popup_bibbia.jsp?tipoTesto=BG&amp;inizio=MT_5_3&amp;tipoTestoPagina=CDA&amp;titoloPagina=2.+La+via+paradossale+della+gioia" TargetMode="External"/><Relationship Id="rId5" Type="http://schemas.openxmlformats.org/officeDocument/2006/relationships/hyperlink" Target="http://www.educat.it/popUpBibbiaCEI/popup_bibbia.jsp?tipoTesto=BG&amp;inizio=MT_11_29&amp;tipoTestoPagina=CDA&amp;titoloPagina=4.+Il+Regno+%C3%A8+per+i+pover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</Words>
  <Characters>1210</Characters>
  <Application>Microsoft Office Word</Application>
  <DocSecurity>0</DocSecurity>
  <Lines>10</Lines>
  <Paragraphs>2</Paragraphs>
  <ScaleCrop>false</ScaleCrop>
  <Company>HP</Company>
  <LinksUpToDate>false</LinksUpToDate>
  <CharactersWithSpaces>1420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AC. Cavazzoni</dc:creator>
  <cp:lastModifiedBy>Andrea AC. Cavazzoni</cp:lastModifiedBy>
  <cp:revision>1</cp:revision>
  <dcterms:created xsi:type="dcterms:W3CDTF">2016-09-20T13:27:00Z</dcterms:created>
  <dcterms:modified xsi:type="dcterms:W3CDTF">2016-09-20T13:27:00Z</dcterms:modified>
</cp:coreProperties>
</file>