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8C0" w:rsidRDefault="00BD6C32">
      <w:pPr>
        <w:rPr>
          <w:rFonts w:ascii="Arial" w:hAnsi="Arial" w:cs="Arial"/>
          <w:color w:val="0066FF"/>
          <w:sz w:val="32"/>
          <w:szCs w:val="32"/>
        </w:rPr>
      </w:pPr>
      <w:r w:rsidRPr="00BD6C32">
        <w:rPr>
          <w:rFonts w:ascii="Arial" w:hAnsi="Arial" w:cs="Arial"/>
          <w:color w:val="0066FF"/>
          <w:sz w:val="32"/>
          <w:szCs w:val="32"/>
        </w:rPr>
        <w:t>Allegato 7</w:t>
      </w:r>
    </w:p>
    <w:p w:rsidR="00BD6C32" w:rsidRDefault="00BD6C32">
      <w:pPr>
        <w:rPr>
          <w:rFonts w:ascii="Arial" w:hAnsi="Arial" w:cs="Arial"/>
          <w:color w:val="0066FF"/>
          <w:sz w:val="32"/>
          <w:szCs w:val="32"/>
        </w:rPr>
      </w:pPr>
    </w:p>
    <w:p w:rsidR="00BD6C32" w:rsidRDefault="00BD6C32">
      <w:pPr>
        <w:rPr>
          <w:rFonts w:ascii="Arial" w:hAnsi="Arial" w:cs="Arial"/>
          <w:color w:val="0066FF"/>
          <w:sz w:val="32"/>
          <w:szCs w:val="32"/>
        </w:rPr>
      </w:pPr>
      <w:r>
        <w:rPr>
          <w:rFonts w:ascii="Arial" w:hAnsi="Arial" w:cs="Arial"/>
          <w:color w:val="0066FF"/>
          <w:sz w:val="32"/>
          <w:szCs w:val="32"/>
        </w:rPr>
        <w:t>Dal catechismo degli adulti:</w:t>
      </w:r>
    </w:p>
    <w:p w:rsidR="00BD6C32" w:rsidRPr="00BD6C32" w:rsidRDefault="00BD6C32">
      <w:pPr>
        <w:rPr>
          <w:rFonts w:ascii="Arial" w:hAnsi="Arial" w:cs="Arial"/>
          <w:sz w:val="32"/>
          <w:szCs w:val="32"/>
        </w:rPr>
      </w:pPr>
      <w:r w:rsidRPr="00BD6C32">
        <w:rPr>
          <w:rFonts w:ascii="Arial" w:hAnsi="Arial" w:cs="Arial"/>
          <w:sz w:val="32"/>
          <w:szCs w:val="32"/>
        </w:rPr>
        <w:t>[134] L’attenzione preferenziale per gli ultimi</w:t>
      </w:r>
      <w:r>
        <w:rPr>
          <w:rFonts w:ascii="Arial" w:hAnsi="Arial" w:cs="Arial"/>
          <w:sz w:val="32"/>
          <w:szCs w:val="32"/>
        </w:rPr>
        <w:t xml:space="preserve"> non significa esclusione degli altri. Gesù frequenta anche i “ricchi” e i “giusti”, coloro che nella società sono in vista per il benessere materiale o per la devota osservanza della legge. Verso di loro però usa un linguaggio severo, perché li vede soddisfatti di sé, chiusi verso Dio e senza misericordia per il prossimo. […] I giusti sono tali solo in apparenza, quando disprezzano “gli altri uomini, ladri, ingiusti, adulteri” e si presentano a Dio a testa alta, confidando nelle proprie opere buone, come il fariseo al tempio. Nessuno è giusto da sé; per questo Gesù dichiara:” non sono venuto per chiamare i giusti ma i peccatori”. […] Chi si gloria della propria giustizia, si esclude dalla misericordia di Dio. La falsa autosufficienza, quella materiale </w:t>
      </w:r>
      <w:bookmarkStart w:id="0" w:name="_GoBack"/>
      <w:bookmarkEnd w:id="0"/>
      <w:r>
        <w:rPr>
          <w:rFonts w:ascii="Arial" w:hAnsi="Arial" w:cs="Arial"/>
          <w:sz w:val="32"/>
          <w:szCs w:val="32"/>
        </w:rPr>
        <w:t>dei “ricchi” come quella morale dei “giusti”, è il peccato fondamentale, che impedisce di accogliere il regno di Dio come dono.</w:t>
      </w:r>
    </w:p>
    <w:sectPr w:rsidR="00BD6C32" w:rsidRPr="00BD6C3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C32"/>
    <w:rsid w:val="004308C0"/>
    <w:rsid w:val="00BD6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759D6"/>
  <w15:chartTrackingRefBased/>
  <w15:docId w15:val="{2D57B511-6F2C-4EEE-9796-171950DA7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Federica Bellelli</cp:lastModifiedBy>
  <cp:revision>1</cp:revision>
  <dcterms:created xsi:type="dcterms:W3CDTF">2016-08-27T21:25:00Z</dcterms:created>
  <dcterms:modified xsi:type="dcterms:W3CDTF">2016-08-27T21:33:00Z</dcterms:modified>
</cp:coreProperties>
</file>